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Times New Roman" w:hAnsi="Times New Roman" w:eastAsia="方正小标宋简体" w:cs="Times New Roman"/>
          <w:bCs/>
          <w:color w:val="auto"/>
          <w:kern w:val="0"/>
          <w:sz w:val="44"/>
          <w:szCs w:val="44"/>
          <w:shd w:val="clear" w:color="auto" w:fill="FFFFFF"/>
          <w:lang w:val="en-US" w:eastAsia="zh-CN" w:bidi="ar"/>
        </w:rPr>
      </w:pPr>
      <w:r>
        <w:rPr>
          <w:rFonts w:hint="eastAsia" w:eastAsia="方正小标宋简体" w:cs="Times New Roman"/>
          <w:bCs/>
          <w:color w:val="auto"/>
          <w:kern w:val="0"/>
          <w:sz w:val="44"/>
          <w:szCs w:val="44"/>
          <w:shd w:val="clear" w:color="auto" w:fill="FFFFFF"/>
          <w:lang w:val="en-US" w:eastAsia="zh-CN" w:bidi="ar"/>
        </w:rPr>
        <w:t>云县</w:t>
      </w:r>
      <w:r>
        <w:rPr>
          <w:rFonts w:hint="default" w:ascii="Times New Roman" w:hAnsi="Times New Roman" w:eastAsia="方正小标宋简体" w:cs="Times New Roman"/>
          <w:bCs/>
          <w:color w:val="auto"/>
          <w:kern w:val="0"/>
          <w:sz w:val="44"/>
          <w:szCs w:val="44"/>
          <w:shd w:val="clear" w:color="auto" w:fill="FFFFFF"/>
          <w:lang w:val="en-US" w:eastAsia="zh-CN" w:bidi="ar"/>
        </w:rPr>
        <w:t>第五次全国经济普查公报（第四号）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0" w:firstLineChars="0"/>
        <w:jc w:val="center"/>
        <w:textAlignment w:val="auto"/>
        <w:rPr>
          <w:rFonts w:hint="default" w:ascii="Times New Roman" w:hAnsi="Times New Roman" w:eastAsia="方正小标宋简体" w:cs="Times New Roman"/>
          <w:bCs/>
          <w:color w:val="auto"/>
          <w:kern w:val="0"/>
          <w:sz w:val="44"/>
          <w:szCs w:val="44"/>
          <w:shd w:val="clear" w:color="auto" w:fill="FFFFFF"/>
          <w:lang w:val="en-US" w:eastAsia="zh-CN" w:bidi="ar"/>
        </w:rPr>
      </w:pPr>
      <w:bookmarkStart w:id="0" w:name="OLE_LINK20"/>
      <w:r>
        <w:rPr>
          <w:rFonts w:hint="eastAsia" w:ascii="方正公文小标宋" w:hAnsi="方正公文小标宋" w:eastAsia="方正公文小标宋" w:cs="方正公文小标宋"/>
          <w:bCs/>
          <w:color w:val="auto"/>
          <w:kern w:val="0"/>
          <w:sz w:val="44"/>
          <w:szCs w:val="44"/>
          <w:shd w:val="clear" w:color="auto" w:fill="FFFFFF"/>
          <w:lang w:val="en-US" w:eastAsia="zh-CN" w:bidi="ar"/>
        </w:rPr>
        <w:t>——</w:t>
      </w:r>
      <w:r>
        <w:rPr>
          <w:rFonts w:hint="default" w:ascii="Times New Roman" w:hAnsi="Times New Roman" w:eastAsia="方正小标宋简体" w:cs="Times New Roman"/>
          <w:bCs/>
          <w:color w:val="auto"/>
          <w:kern w:val="0"/>
          <w:sz w:val="44"/>
          <w:szCs w:val="44"/>
          <w:shd w:val="clear" w:color="auto" w:fill="FFFFFF"/>
          <w:lang w:val="en-US" w:eastAsia="zh-CN" w:bidi="ar"/>
        </w:rPr>
        <w:t>第三产业基本情况之一</w:t>
      </w:r>
    </w:p>
    <w:p>
      <w:pPr>
        <w:keepNext w:val="0"/>
        <w:keepLines w:val="0"/>
        <w:pageBreakBefore w:val="0"/>
        <w:kinsoku/>
        <w:wordWrap/>
        <w:overflowPunct/>
        <w:topLinePunct w:val="0"/>
        <w:autoSpaceDE/>
        <w:autoSpaceDN/>
        <w:bidi w:val="0"/>
        <w:spacing w:line="560" w:lineRule="exact"/>
        <w:rPr>
          <w:rFonts w:hint="default"/>
          <w:lang w:val="en-US" w:eastAsia="zh-CN"/>
        </w:rPr>
      </w:pPr>
    </w:p>
    <w:bookmarkEnd w:id="0"/>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云县</w:t>
      </w:r>
      <w:r>
        <w:rPr>
          <w:rFonts w:hint="default" w:ascii="仿宋_GB2312" w:hAnsi="仿宋_GB2312" w:eastAsia="仿宋_GB2312" w:cs="仿宋_GB2312"/>
          <w:color w:val="auto"/>
          <w:kern w:val="2"/>
          <w:sz w:val="32"/>
          <w:szCs w:val="32"/>
          <w:lang w:val="en-US" w:eastAsia="zh-CN" w:bidi="ar-SA"/>
        </w:rPr>
        <w:t>统计局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云县</w:t>
      </w:r>
      <w:r>
        <w:rPr>
          <w:rFonts w:hint="default" w:ascii="仿宋_GB2312" w:hAnsi="仿宋_GB2312" w:eastAsia="仿宋_GB2312" w:cs="仿宋_GB2312"/>
          <w:color w:val="auto"/>
          <w:kern w:val="2"/>
          <w:sz w:val="32"/>
          <w:szCs w:val="32"/>
          <w:lang w:val="en-US" w:eastAsia="zh-CN" w:bidi="ar-SA"/>
        </w:rPr>
        <w:t>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楷体" w:cs="Times New Roman"/>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（2025年</w:t>
      </w: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default" w:ascii="Times New Roman" w:hAnsi="Times New Roman" w:cs="Times New Roman"/>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w:t>
      </w:r>
      <w:r>
        <w:rPr>
          <w:rFonts w:hint="eastAsia" w:ascii="仿宋_GB2312" w:hAnsi="仿宋_GB2312" w:eastAsia="仿宋_GB2312" w:cs="仿宋_GB2312"/>
          <w:color w:val="auto"/>
          <w:kern w:val="2"/>
          <w:sz w:val="32"/>
          <w:szCs w:val="32"/>
          <w:lang w:val="en-US" w:eastAsia="zh-CN" w:bidi="ar-SA"/>
        </w:rPr>
        <w:t>云县</w:t>
      </w:r>
      <w:r>
        <w:rPr>
          <w:rFonts w:hint="default" w:ascii="仿宋_GB2312" w:hAnsi="仿宋_GB2312" w:eastAsia="仿宋_GB2312" w:cs="仿宋_GB2312"/>
          <w:color w:val="auto"/>
          <w:kern w:val="2"/>
          <w:sz w:val="32"/>
          <w:szCs w:val="32"/>
          <w:lang w:val="en-US" w:eastAsia="zh-CN" w:bidi="ar-SA"/>
        </w:rPr>
        <w:t>第五次全国经济普查结果，现将我</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第三产业中批发和零售业，交通运输、仓储和邮政业，住宿和餐饮业，信息传输、软件和信息技术服务业，金融业，房地产业，租赁和商务服务业的主要数据公布如下：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黑体" w:cs="Times New Roman"/>
          <w:b w:val="0"/>
          <w:bCs/>
          <w:i w:val="0"/>
          <w:caps w:val="0"/>
          <w:color w:val="auto"/>
          <w:spacing w:val="0"/>
          <w:kern w:val="0"/>
          <w:sz w:val="32"/>
          <w:szCs w:val="32"/>
          <w:highlight w:val="none"/>
          <w:lang w:val="en-US" w:eastAsia="zh-CN" w:bidi="ar"/>
        </w:rPr>
        <w:t>一、批发和零售业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楷体_GB2312" w:cs="Times New Roman"/>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2023年末，全县共有批发和零售业企业法人单位2382个，从业人员8789人，分别比2018年末增长216.33%和89.5%。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在批发和零售业企业法人单位中，批发业占19.68%，零售业占 80.32%。在批发和零售业企业法人单位从业人员中，批发业占24.62%，零售业占75.38%（详见表4-1）。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　按行业中类分组的批发和零售业企业法人单位数和从业人员</w:t>
      </w:r>
    </w:p>
    <w:tbl>
      <w:tblPr>
        <w:tblStyle w:val="8"/>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581"/>
        <w:gridCol w:w="1780"/>
        <w:gridCol w:w="13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581"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78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10"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5581"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auto"/>
                <w:sz w:val="21"/>
                <w:szCs w:val="21"/>
                <w:highlight w:val="none"/>
              </w:rPr>
            </w:pPr>
            <w:bookmarkStart w:id="1" w:name="OLE_LINK7" w:colFirst="1" w:colLast="2"/>
            <w:r>
              <w:rPr>
                <w:rFonts w:hint="eastAsia" w:ascii="Times New Roman" w:hAnsi="Times New Roman" w:eastAsia="宋体" w:cs="宋体"/>
                <w:b/>
                <w:color w:val="auto"/>
                <w:kern w:val="0"/>
                <w:sz w:val="21"/>
                <w:szCs w:val="21"/>
                <w:highlight w:val="none"/>
                <w:lang w:val="en-US" w:eastAsia="zh-CN" w:bidi="ar"/>
              </w:rPr>
              <w:t>合　计</w:t>
            </w:r>
          </w:p>
        </w:tc>
        <w:tc>
          <w:tcPr>
            <w:tcW w:w="178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tabs>
                <w:tab w:val="left" w:pos="847"/>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2382</w:t>
            </w:r>
          </w:p>
        </w:tc>
        <w:tc>
          <w:tcPr>
            <w:tcW w:w="1310" w:type="dxa"/>
            <w:tcBorders>
              <w:top w:val="single" w:color="auto" w:sz="4" w:space="0"/>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8789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8"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批发业</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521</w:t>
            </w:r>
          </w:p>
        </w:tc>
        <w:tc>
          <w:tcPr>
            <w:tcW w:w="1310" w:type="dxa"/>
            <w:tcBorders>
              <w:top w:val="nil"/>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2164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bookmarkStart w:id="2" w:name="OLE_LINK2" w:colFirst="2" w:colLast="2"/>
            <w:r>
              <w:rPr>
                <w:rFonts w:hint="eastAsia" w:ascii="Times New Roman" w:hAnsi="Times New Roman" w:eastAsia="宋体" w:cs="宋体"/>
                <w:color w:val="auto"/>
                <w:kern w:val="0"/>
                <w:sz w:val="21"/>
                <w:szCs w:val="21"/>
                <w:highlight w:val="none"/>
                <w:lang w:val="en-US" w:eastAsia="zh-CN" w:bidi="ar"/>
              </w:rPr>
              <w:t>农、林、牧、渔产品批发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174</w:t>
            </w:r>
          </w:p>
        </w:tc>
        <w:tc>
          <w:tcPr>
            <w:tcW w:w="131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565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148</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66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573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eastAsia="宋体" w:cs="宋体"/>
                <w:color w:val="auto"/>
                <w:kern w:val="0"/>
                <w:sz w:val="21"/>
                <w:szCs w:val="21"/>
                <w:highlight w:val="none"/>
                <w:lang w:val="en-US" w:eastAsia="zh-CN" w:bidi="ar"/>
              </w:rPr>
              <w:t>573</w:t>
            </w:r>
            <w:r>
              <w:rPr>
                <w:rFonts w:hint="eastAsia" w:ascii="Times New Roman" w:hAnsi="Times New Roman" w:eastAsia="宋体" w:cs="宋体"/>
                <w:color w:val="auto"/>
                <w:kern w:val="0"/>
                <w:sz w:val="21"/>
                <w:szCs w:val="21"/>
                <w:highlight w:val="none"/>
                <w:lang w:val="en-US" w:eastAsia="zh-CN" w:bidi="ar"/>
              </w:rPr>
              <w:t>纺织、服装及家庭用品批发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6</w:t>
            </w:r>
          </w:p>
        </w:tc>
        <w:tc>
          <w:tcPr>
            <w:tcW w:w="131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eastAsia="宋体" w:cs="宋体"/>
                <w:color w:val="auto"/>
                <w:kern w:val="0"/>
                <w:sz w:val="21"/>
                <w:szCs w:val="21"/>
                <w:highlight w:val="none"/>
                <w:lang w:val="en-US" w:eastAsia="zh-CN" w:bidi="ar"/>
              </w:rPr>
              <w:t>0</w:t>
            </w:r>
            <w:r>
              <w:rPr>
                <w:rFonts w:hint="eastAsia" w:ascii="Times New Roman" w:hAnsi="Times New Roman" w:eastAsia="宋体" w:cs="宋体"/>
                <w:color w:val="auto"/>
                <w:kern w:val="0"/>
                <w:sz w:val="21"/>
                <w:szCs w:val="21"/>
                <w:highlight w:val="none"/>
                <w:lang w:val="en-US" w:eastAsia="zh-CN" w:bidi="ar"/>
              </w:rPr>
              <w:t>医药及医疗器材批发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35</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5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矿</w:t>
            </w:r>
            <w:r>
              <w:rPr>
                <w:rFonts w:hint="eastAsia" w:eastAsia="宋体" w:cs="宋体"/>
                <w:color w:val="auto"/>
                <w:kern w:val="0"/>
                <w:sz w:val="21"/>
                <w:szCs w:val="21"/>
                <w:highlight w:val="none"/>
                <w:lang w:val="en-US" w:eastAsia="zh-CN" w:bidi="ar"/>
              </w:rPr>
              <w:t>252</w:t>
            </w:r>
            <w:r>
              <w:rPr>
                <w:rFonts w:hint="eastAsia" w:ascii="Times New Roman" w:hAnsi="Times New Roman" w:eastAsia="宋体" w:cs="宋体"/>
                <w:color w:val="auto"/>
                <w:kern w:val="0"/>
                <w:sz w:val="21"/>
                <w:szCs w:val="21"/>
                <w:highlight w:val="none"/>
                <w:lang w:val="en-US" w:eastAsia="zh-CN" w:bidi="ar"/>
              </w:rPr>
              <w:t>产品、建材及化工产品批发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74</w:t>
            </w:r>
          </w:p>
        </w:tc>
        <w:tc>
          <w:tcPr>
            <w:tcW w:w="131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477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机械设</w:t>
            </w:r>
            <w:r>
              <w:rPr>
                <w:rFonts w:hint="eastAsia" w:eastAsia="宋体" w:cs="宋体"/>
                <w:color w:val="auto"/>
                <w:kern w:val="0"/>
                <w:sz w:val="21"/>
                <w:szCs w:val="21"/>
                <w:highlight w:val="none"/>
                <w:lang w:val="en-US" w:eastAsia="zh-CN" w:bidi="ar"/>
              </w:rPr>
              <w:t>477</w:t>
            </w:r>
            <w:r>
              <w:rPr>
                <w:rFonts w:hint="eastAsia" w:ascii="Times New Roman" w:hAnsi="Times New Roman" w:eastAsia="宋体" w:cs="宋体"/>
                <w:color w:val="auto"/>
                <w:kern w:val="0"/>
                <w:sz w:val="21"/>
                <w:szCs w:val="21"/>
                <w:highlight w:val="none"/>
                <w:lang w:val="en-US" w:eastAsia="zh-CN" w:bidi="ar"/>
              </w:rPr>
              <w:t>备、五金产品及电子产品批发</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4</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87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贸易经纪与</w:t>
            </w:r>
            <w:r>
              <w:rPr>
                <w:rFonts w:hint="eastAsia" w:eastAsia="宋体" w:cs="宋体"/>
                <w:color w:val="auto"/>
                <w:kern w:val="0"/>
                <w:sz w:val="21"/>
                <w:szCs w:val="21"/>
                <w:highlight w:val="none"/>
                <w:lang w:val="en-US" w:eastAsia="zh-CN" w:bidi="ar"/>
              </w:rPr>
              <w:t>11</w:t>
            </w:r>
            <w:r>
              <w:rPr>
                <w:rFonts w:hint="eastAsia" w:ascii="Times New Roman" w:hAnsi="Times New Roman" w:eastAsia="宋体" w:cs="宋体"/>
                <w:color w:val="auto"/>
                <w:kern w:val="0"/>
                <w:sz w:val="21"/>
                <w:szCs w:val="21"/>
                <w:highlight w:val="none"/>
                <w:lang w:val="en-US" w:eastAsia="zh-CN" w:bidi="ar"/>
              </w:rPr>
              <w:t>代理</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其他批发业</w:t>
            </w:r>
            <w:r>
              <w:rPr>
                <w:rFonts w:hint="eastAsia" w:eastAsia="宋体" w:cs="宋体"/>
                <w:color w:val="auto"/>
                <w:kern w:val="0"/>
                <w:sz w:val="21"/>
                <w:szCs w:val="21"/>
                <w:highlight w:val="none"/>
                <w:lang w:val="en-US" w:eastAsia="zh-CN" w:bidi="ar"/>
              </w:rPr>
              <w:t>2</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79</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8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271</w:t>
            </w:r>
          </w:p>
        </w:tc>
      </w:tr>
      <w:bookmarkEnd w:id="2"/>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default" w:ascii="Times New Roman" w:hAnsi="Times New Roman" w:eastAsia="宋体" w:cs="宋体"/>
                <w:color w:val="auto"/>
                <w:sz w:val="21"/>
                <w:szCs w:val="21"/>
                <w:highlight w:val="none"/>
                <w:lang w:val="en-US"/>
              </w:rPr>
            </w:pPr>
            <w:bookmarkStart w:id="3" w:name="OLE_LINK3" w:colFirst="1" w:colLast="2"/>
            <w:r>
              <w:rPr>
                <w:rFonts w:hint="eastAsia" w:ascii="Times New Roman" w:hAnsi="Times New Roman" w:eastAsia="宋体" w:cs="宋体"/>
                <w:b/>
                <w:color w:val="auto"/>
                <w:kern w:val="0"/>
                <w:sz w:val="21"/>
                <w:szCs w:val="21"/>
                <w:highlight w:val="none"/>
                <w:lang w:val="en-US" w:eastAsia="zh-CN" w:bidi="ar"/>
              </w:rPr>
              <w:t>零售业</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793"/>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ab/>
            </w:r>
            <w:r>
              <w:rPr>
                <w:rFonts w:hint="eastAsia" w:eastAsia="宋体" w:cs="Times New Roman"/>
                <w:b/>
                <w:bCs/>
                <w:i w:val="0"/>
                <w:iCs w:val="0"/>
                <w:color w:val="auto"/>
                <w:kern w:val="2"/>
                <w:sz w:val="21"/>
                <w:szCs w:val="21"/>
                <w:u w:val="none"/>
                <w:lang w:val="en-US" w:eastAsia="zh-CN" w:bidi="ar-SA"/>
              </w:rPr>
              <w:t>1861</w:t>
            </w:r>
          </w:p>
        </w:tc>
        <w:tc>
          <w:tcPr>
            <w:tcW w:w="1310" w:type="dxa"/>
            <w:tcBorders>
              <w:top w:val="nil"/>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6625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综合零售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7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ab/>
            </w:r>
            <w:r>
              <w:rPr>
                <w:rFonts w:hint="eastAsia" w:eastAsia="宋体" w:cs="Times New Roman"/>
                <w:i w:val="0"/>
                <w:iCs w:val="0"/>
                <w:color w:val="auto"/>
                <w:kern w:val="2"/>
                <w:sz w:val="21"/>
                <w:szCs w:val="21"/>
                <w:u w:val="none"/>
                <w:lang w:val="en-US" w:eastAsia="zh-CN" w:bidi="ar-SA"/>
              </w:rPr>
              <w:t>478</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87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1451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803</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8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2662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纺织、服装及日用品专门零售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1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ab/>
            </w:r>
            <w:r>
              <w:rPr>
                <w:rFonts w:hint="eastAsia" w:eastAsia="宋体" w:cs="Times New Roman"/>
                <w:i w:val="0"/>
                <w:iCs w:val="0"/>
                <w:color w:val="auto"/>
                <w:kern w:val="2"/>
                <w:sz w:val="21"/>
                <w:szCs w:val="21"/>
                <w:u w:val="none"/>
                <w:lang w:val="en-US" w:eastAsia="zh-CN" w:bidi="ar-SA"/>
              </w:rPr>
              <w:t>44</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92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81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医药及医疗器材专门零售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6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ab/>
            </w:r>
            <w:r>
              <w:rPr>
                <w:rFonts w:hint="eastAsia" w:eastAsia="宋体" w:cs="Times New Roman"/>
                <w:i w:val="0"/>
                <w:iCs w:val="0"/>
                <w:color w:val="auto"/>
                <w:kern w:val="2"/>
                <w:sz w:val="21"/>
                <w:szCs w:val="21"/>
                <w:u w:val="none"/>
                <w:lang w:val="en-US" w:eastAsia="zh-CN" w:bidi="ar-SA"/>
              </w:rPr>
              <w:t>161</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510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汽车、摩托车、零配件和燃料及其他动力销售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145</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2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798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家用电器及电子产品专门零售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0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33</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162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五金、家具及室内装饰材料专门零售</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9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89</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7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377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货摊、无店铺及其他零售业</w:t>
            </w:r>
          </w:p>
        </w:tc>
        <w:tc>
          <w:tcPr>
            <w:tcW w:w="1780" w:type="dxa"/>
            <w:tcBorders>
              <w:top w:val="nil"/>
              <w:left w:val="single" w:color="auto" w:sz="4" w:space="0"/>
              <w:bottom w:val="nil"/>
              <w:right w:val="single" w:color="auto" w:sz="4" w:space="0"/>
            </w:tcBorders>
            <w:vAlign w:val="center"/>
          </w:tcPr>
          <w:p>
            <w:pPr>
              <w:keepNext w:val="0"/>
              <w:keepLines w:val="0"/>
              <w:widowControl/>
              <w:suppressLineNumbers w:val="0"/>
              <w:tabs>
                <w:tab w:val="left" w:pos="99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ab/>
            </w:r>
            <w:r>
              <w:rPr>
                <w:rFonts w:hint="eastAsia" w:eastAsia="宋体" w:cs="Times New Roman"/>
                <w:i w:val="0"/>
                <w:iCs w:val="0"/>
                <w:color w:val="auto"/>
                <w:kern w:val="2"/>
                <w:sz w:val="21"/>
                <w:szCs w:val="21"/>
                <w:u w:val="none"/>
                <w:lang w:val="en-US" w:eastAsia="zh-CN" w:bidi="ar-SA"/>
              </w:rPr>
              <w:t>94</w:t>
            </w:r>
          </w:p>
        </w:tc>
        <w:tc>
          <w:tcPr>
            <w:tcW w:w="1310" w:type="dxa"/>
            <w:tcBorders>
              <w:top w:val="nil"/>
              <w:left w:val="single" w:color="auto" w:sz="4" w:space="0"/>
              <w:bottom w:val="nil"/>
              <w:right w:val="nil"/>
            </w:tcBorders>
            <w:vAlign w:val="center"/>
          </w:tcPr>
          <w:p>
            <w:pPr>
              <w:keepNext w:val="0"/>
              <w:keepLines w:val="0"/>
              <w:widowControl/>
              <w:suppressLineNumbers w:val="0"/>
              <w:tabs>
                <w:tab w:val="left" w:pos="80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329</w:t>
            </w:r>
          </w:p>
        </w:tc>
      </w:tr>
      <w:bookmarkEnd w:id="1"/>
      <w:bookmarkEnd w:id="3"/>
    </w:tbl>
    <w:p>
      <w:pPr>
        <w:pStyle w:val="7"/>
        <w:snapToGrid w:val="0"/>
        <w:spacing w:line="240" w:lineRule="auto"/>
        <w:ind w:firstLine="0" w:firstLineChars="0"/>
        <w:jc w:val="both"/>
        <w:textAlignment w:val="auto"/>
        <w:rPr>
          <w:rFonts w:hint="eastAsia" w:ascii="Calibri" w:hAnsi="Calibri" w:eastAsia="宋体" w:cs="Times New Roman"/>
          <w:vertAlign w:val="superscript"/>
          <w:lang w:val="en-US" w:eastAsia="zh-CN"/>
        </w:rPr>
      </w:pPr>
    </w:p>
    <w:p>
      <w:pPr>
        <w:pStyle w:val="7"/>
        <w:snapToGrid w:val="0"/>
        <w:spacing w:line="240" w:lineRule="auto"/>
        <w:ind w:firstLine="0" w:firstLineChars="0"/>
        <w:jc w:val="both"/>
        <w:textAlignment w:val="auto"/>
        <w:rPr>
          <w:rFonts w:hint="eastAsia" w:ascii="宋体" w:hAnsi="宋体" w:eastAsia="宋体" w:cs="宋体"/>
          <w:szCs w:val="18"/>
        </w:rPr>
      </w:pPr>
      <w:r>
        <w:rPr>
          <w:rFonts w:hint="eastAsia" w:ascii="Calibri" w:hAnsi="Calibri" w:eastAsia="宋体" w:cs="Times New Roman"/>
          <w:vertAlign w:val="superscript"/>
          <w:lang w:val="en-US" w:eastAsia="zh-CN"/>
        </w:rPr>
        <w:t>1.</w:t>
      </w:r>
      <w:r>
        <w:rPr>
          <w:rStyle w:val="10"/>
          <w:rFonts w:hint="eastAsia" w:ascii="Calibri" w:hAnsi="Calibri" w:eastAsia="宋体" w:cs="Times New Roman"/>
          <w:vertAlign w:val="superscript"/>
        </w:rPr>
        <w:t xml:space="preserve"> </w:t>
      </w:r>
      <w:r>
        <w:rPr>
          <w:rStyle w:val="10"/>
          <w:rFonts w:hint="eastAsia" w:ascii="Calibri" w:hAnsi="Calibri" w:eastAsia="宋体" w:cs="Times New Roman"/>
          <w:vertAlign w:val="baseline"/>
          <w:lang w:val="en-US" w:eastAsia="zh-CN"/>
        </w:rPr>
        <w:t>本</w:t>
      </w:r>
      <w:r>
        <w:rPr>
          <w:rFonts w:hint="eastAsia" w:ascii="宋体" w:hAnsi="宋体" w:eastAsia="宋体" w:cs="宋体"/>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仿宋" w:hAnsi="仿宋" w:eastAsia="仿宋" w:cs="仿宋"/>
          <w:color w:val="auto"/>
          <w:spacing w:val="-6"/>
          <w:sz w:val="32"/>
          <w:szCs w:val="32"/>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在批发和零售业企业法人单位中，内资企业占90.30%，港澳台投资企业占0.08%，外商投资企业占0.17%，其他统计类别占9.45%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在批发和零售业企业法人单位从业人员中，内资企业占93.96%，港澳台投资企业占3.23%，外商投资企业占0.11%，其他统计类别占2.7%。</w:t>
      </w:r>
      <w:r>
        <w:rPr>
          <w:rFonts w:hint="default" w:ascii="仿宋_GB2312" w:hAnsi="仿宋_GB2312" w:eastAsia="仿宋_GB2312" w:cs="仿宋_GB2312"/>
          <w:color w:val="auto"/>
          <w:kern w:val="2"/>
          <w:sz w:val="32"/>
          <w:szCs w:val="32"/>
          <w:lang w:val="en-US" w:eastAsia="zh-CN" w:bidi="ar-SA"/>
        </w:rPr>
        <w:t>（详见表4-2）。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表4-2　按登记注册统计类别分组的批发和零售业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8"/>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87"/>
        <w:gridCol w:w="2689"/>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87"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68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295"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687"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bookmarkStart w:id="4" w:name="OLE_LINK15" w:colFirst="1" w:colLast="2"/>
            <w:r>
              <w:rPr>
                <w:rFonts w:hint="eastAsia" w:ascii="Times New Roman" w:hAnsi="Times New Roman" w:eastAsia="宋体" w:cs="宋体"/>
                <w:b/>
                <w:color w:val="auto"/>
                <w:kern w:val="0"/>
                <w:sz w:val="21"/>
                <w:szCs w:val="21"/>
                <w:highlight w:val="none"/>
                <w:lang w:val="en-US" w:eastAsia="zh-CN" w:bidi="ar"/>
              </w:rPr>
              <w:t>合　计</w:t>
            </w:r>
          </w:p>
        </w:tc>
        <w:tc>
          <w:tcPr>
            <w:tcW w:w="2689" w:type="dxa"/>
            <w:tcBorders>
              <w:top w:val="single" w:color="auto" w:sz="4" w:space="0"/>
              <w:left w:val="single" w:color="auto" w:sz="4" w:space="0"/>
              <w:bottom w:val="nil"/>
              <w:right w:val="single" w:color="auto" w:sz="4" w:space="0"/>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2382</w:t>
            </w:r>
          </w:p>
        </w:tc>
        <w:tc>
          <w:tcPr>
            <w:tcW w:w="2295" w:type="dxa"/>
            <w:tcBorders>
              <w:top w:val="single" w:color="auto" w:sz="4" w:space="0"/>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8789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89"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2151</w:t>
            </w:r>
          </w:p>
        </w:tc>
        <w:tc>
          <w:tcPr>
            <w:tcW w:w="2295"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8258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2689"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w:t>
            </w:r>
          </w:p>
        </w:tc>
        <w:tc>
          <w:tcPr>
            <w:tcW w:w="2295"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89"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4</w:t>
            </w:r>
          </w:p>
        </w:tc>
        <w:tc>
          <w:tcPr>
            <w:tcW w:w="2295"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2"/>
                <w:sz w:val="21"/>
                <w:szCs w:val="21"/>
                <w:highlight w:val="none"/>
                <w:lang w:val="en-US" w:eastAsia="zh-CN" w:bidi="ar-SA"/>
              </w:rPr>
              <w:t>其他统计类别</w:t>
            </w:r>
          </w:p>
        </w:tc>
        <w:tc>
          <w:tcPr>
            <w:tcW w:w="2689"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225</w:t>
            </w:r>
          </w:p>
        </w:tc>
        <w:tc>
          <w:tcPr>
            <w:tcW w:w="2295" w:type="dxa"/>
            <w:tcBorders>
              <w:top w:val="nil"/>
              <w:left w:val="single" w:color="auto" w:sz="4" w:space="0"/>
              <w:bottom w:val="single" w:color="auto" w:sz="12" w:space="0"/>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237</w:t>
            </w:r>
          </w:p>
        </w:tc>
      </w:tr>
      <w:bookmarkEnd w:id="4"/>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560" w:lineRule="exact"/>
        <w:ind w:left="0" w:right="0" w:firstLine="640" w:firstLineChars="200"/>
        <w:jc w:val="left"/>
        <w:textAlignment w:val="auto"/>
        <w:rPr>
          <w:rFonts w:hint="default" w:ascii="Times New Roman" w:hAnsi="Times New Roman" w:eastAsia="楷体_GB2312" w:cs="Times New Roman"/>
          <w:i w:val="0"/>
          <w:caps w:val="0"/>
          <w:color w:val="auto"/>
          <w:spacing w:val="0"/>
          <w:kern w:val="0"/>
          <w:sz w:val="32"/>
          <w:szCs w:val="32"/>
          <w:highlight w:val="none"/>
          <w:lang w:bidi="ar"/>
        </w:rPr>
      </w:pPr>
      <w:r>
        <w:rPr>
          <w:rFonts w:hint="default" w:ascii="Times New Roman" w:hAnsi="Times New Roman" w:eastAsia="楷体_GB2312" w:cs="Times New Roman"/>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2023年末，全</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批发和零售业企业法人单位资产总计</w:t>
      </w:r>
      <w:r>
        <w:rPr>
          <w:rFonts w:hint="eastAsia" w:ascii="仿宋_GB2312" w:hAnsi="仿宋_GB2312" w:eastAsia="仿宋_GB2312" w:cs="仿宋_GB2312"/>
          <w:color w:val="auto"/>
          <w:kern w:val="2"/>
          <w:sz w:val="32"/>
          <w:szCs w:val="32"/>
          <w:lang w:val="en-US" w:eastAsia="zh-CN" w:bidi="ar-SA"/>
        </w:rPr>
        <w:t>40.60亿元</w:t>
      </w:r>
      <w:r>
        <w:rPr>
          <w:rFonts w:hint="default" w:ascii="仿宋_GB2312" w:hAnsi="仿宋_GB2312" w:eastAsia="仿宋_GB2312" w:cs="仿宋_GB2312"/>
          <w:color w:val="auto"/>
          <w:kern w:val="2"/>
          <w:sz w:val="32"/>
          <w:szCs w:val="32"/>
          <w:lang w:val="en-US" w:eastAsia="zh-CN" w:bidi="ar-SA"/>
        </w:rPr>
        <w:t>，比2018年末</w:t>
      </w:r>
      <w:r>
        <w:rPr>
          <w:rFonts w:hint="eastAsia" w:ascii="仿宋_GB2312" w:hAnsi="仿宋_GB2312" w:eastAsia="仿宋_GB2312" w:cs="仿宋_GB2312"/>
          <w:color w:val="auto"/>
          <w:kern w:val="2"/>
          <w:sz w:val="32"/>
          <w:szCs w:val="32"/>
          <w:lang w:val="en-US" w:eastAsia="zh-CN" w:bidi="ar-SA"/>
        </w:rPr>
        <w:t>减少26.04</w:t>
      </w:r>
      <w:r>
        <w:rPr>
          <w:rFonts w:hint="default" w:ascii="仿宋_GB2312" w:hAnsi="仿宋_GB2312" w:eastAsia="仿宋_GB2312" w:cs="仿宋_GB2312"/>
          <w:color w:val="auto"/>
          <w:kern w:val="2"/>
          <w:sz w:val="32"/>
          <w:szCs w:val="32"/>
          <w:lang w:val="en-US" w:eastAsia="zh-CN" w:bidi="ar-SA"/>
        </w:rPr>
        <w:t>%；负债合计</w:t>
      </w:r>
      <w:r>
        <w:rPr>
          <w:rFonts w:hint="eastAsia" w:ascii="仿宋_GB2312" w:hAnsi="仿宋_GB2312" w:eastAsia="仿宋_GB2312" w:cs="仿宋_GB2312"/>
          <w:color w:val="auto"/>
          <w:kern w:val="2"/>
          <w:sz w:val="32"/>
          <w:szCs w:val="32"/>
          <w:lang w:val="en-US" w:eastAsia="zh-CN" w:bidi="ar-SA"/>
        </w:rPr>
        <w:t>15亿元</w:t>
      </w:r>
      <w:r>
        <w:rPr>
          <w:rFonts w:hint="default" w:ascii="仿宋_GB2312" w:hAnsi="仿宋_GB2312" w:eastAsia="仿宋_GB2312" w:cs="仿宋_GB2312"/>
          <w:color w:val="auto"/>
          <w:kern w:val="2"/>
          <w:sz w:val="32"/>
          <w:szCs w:val="32"/>
          <w:lang w:val="en-US" w:eastAsia="zh-CN" w:bidi="ar-SA"/>
        </w:rPr>
        <w:t>，比2018年末</w:t>
      </w:r>
      <w:r>
        <w:rPr>
          <w:rFonts w:hint="eastAsia" w:ascii="仿宋_GB2312" w:hAnsi="仿宋_GB2312" w:eastAsia="仿宋_GB2312" w:cs="仿宋_GB2312"/>
          <w:color w:val="auto"/>
          <w:kern w:val="2"/>
          <w:sz w:val="32"/>
          <w:szCs w:val="32"/>
          <w:lang w:val="en-US" w:eastAsia="zh-CN" w:bidi="ar-SA"/>
        </w:rPr>
        <w:t>减少62.72</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2023年，全</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批发和零售业企业法人单位全年实现营业收入</w:t>
      </w:r>
      <w:r>
        <w:rPr>
          <w:rFonts w:hint="eastAsia" w:ascii="仿宋_GB2312" w:hAnsi="仿宋_GB2312" w:eastAsia="仿宋_GB2312" w:cs="仿宋_GB2312"/>
          <w:color w:val="auto"/>
          <w:kern w:val="2"/>
          <w:sz w:val="32"/>
          <w:szCs w:val="32"/>
          <w:lang w:val="en-US" w:eastAsia="zh-CN" w:bidi="ar-SA"/>
        </w:rPr>
        <w:t>45.31亿元</w:t>
      </w:r>
      <w:r>
        <w:rPr>
          <w:rFonts w:hint="default" w:ascii="仿宋_GB2312" w:hAnsi="仿宋_GB2312" w:eastAsia="仿宋_GB2312" w:cs="仿宋_GB2312"/>
          <w:color w:val="auto"/>
          <w:kern w:val="2"/>
          <w:sz w:val="32"/>
          <w:szCs w:val="32"/>
          <w:lang w:val="en-US" w:eastAsia="zh-CN" w:bidi="ar-SA"/>
        </w:rPr>
        <w:t>，比2018年增长</w:t>
      </w:r>
      <w:r>
        <w:rPr>
          <w:rFonts w:hint="eastAsia" w:ascii="仿宋_GB2312" w:hAnsi="仿宋_GB2312" w:eastAsia="仿宋_GB2312" w:cs="仿宋_GB2312"/>
          <w:color w:val="auto"/>
          <w:kern w:val="2"/>
          <w:sz w:val="32"/>
          <w:szCs w:val="32"/>
          <w:lang w:val="en-US" w:eastAsia="zh-CN" w:bidi="ar-SA"/>
        </w:rPr>
        <w:t>23.8</w:t>
      </w:r>
      <w:r>
        <w:rPr>
          <w:rFonts w:hint="default" w:ascii="仿宋_GB2312" w:hAnsi="仿宋_GB2312" w:eastAsia="仿宋_GB2312" w:cs="仿宋_GB2312"/>
          <w:color w:val="auto"/>
          <w:kern w:val="2"/>
          <w:sz w:val="32"/>
          <w:szCs w:val="32"/>
          <w:lang w:val="en-US" w:eastAsia="zh-CN" w:bidi="ar-SA"/>
        </w:rPr>
        <w:t>%（详见表4-3）。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表4-3　按行业中类分组的批发和零售业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 xml:space="preserve">      企业法人单位主要经济指标</w:t>
      </w:r>
    </w:p>
    <w:tbl>
      <w:tblPr>
        <w:tblStyle w:val="8"/>
        <w:tblW w:w="86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291"/>
        <w:gridCol w:w="1350"/>
        <w:gridCol w:w="1470"/>
        <w:gridCol w:w="1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291"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135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w:t>
            </w:r>
            <w:r>
              <w:rPr>
                <w:rFonts w:hint="eastAsia" w:eastAsia="宋体" w:cs="Times New Roman"/>
                <w:b/>
                <w:bCs/>
                <w:color w:val="auto"/>
                <w:kern w:val="0"/>
                <w:sz w:val="21"/>
                <w:szCs w:val="21"/>
                <w:highlight w:val="none"/>
                <w:lang w:val="en-US" w:eastAsia="zh-CN" w:bidi="ar"/>
              </w:rPr>
              <w:t>亿元</w:t>
            </w:r>
            <w:r>
              <w:rPr>
                <w:rFonts w:hint="default" w:ascii="Times New Roman" w:hAnsi="Times New Roman" w:eastAsia="宋体" w:cs="Times New Roman"/>
                <w:b/>
                <w:bCs/>
                <w:color w:val="auto"/>
                <w:kern w:val="0"/>
                <w:sz w:val="21"/>
                <w:szCs w:val="21"/>
                <w:highlight w:val="none"/>
                <w:lang w:val="en-US" w:eastAsia="zh-CN" w:bidi="ar"/>
              </w:rPr>
              <w:t>）</w:t>
            </w:r>
          </w:p>
        </w:tc>
        <w:tc>
          <w:tcPr>
            <w:tcW w:w="147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w:t>
            </w:r>
            <w:r>
              <w:rPr>
                <w:rFonts w:hint="eastAsia" w:eastAsia="宋体" w:cs="Times New Roman"/>
                <w:b/>
                <w:bCs/>
                <w:color w:val="auto"/>
                <w:kern w:val="0"/>
                <w:sz w:val="21"/>
                <w:szCs w:val="21"/>
                <w:highlight w:val="none"/>
                <w:lang w:val="en-US" w:eastAsia="zh-CN" w:bidi="ar"/>
              </w:rPr>
              <w:t>亿元</w:t>
            </w:r>
            <w:r>
              <w:rPr>
                <w:rFonts w:hint="default" w:ascii="Times New Roman" w:hAnsi="Times New Roman" w:eastAsia="宋体" w:cs="Times New Roman"/>
                <w:b/>
                <w:bCs/>
                <w:color w:val="auto"/>
                <w:kern w:val="0"/>
                <w:sz w:val="21"/>
                <w:szCs w:val="21"/>
                <w:highlight w:val="none"/>
                <w:lang w:val="en-US" w:eastAsia="zh-CN" w:bidi="ar"/>
              </w:rPr>
              <w:t>）</w:t>
            </w:r>
          </w:p>
        </w:tc>
        <w:tc>
          <w:tcPr>
            <w:tcW w:w="1560"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w:t>
            </w:r>
            <w:r>
              <w:rPr>
                <w:rFonts w:hint="eastAsia" w:eastAsia="宋体" w:cs="Times New Roman"/>
                <w:b/>
                <w:bCs/>
                <w:color w:val="auto"/>
                <w:kern w:val="0"/>
                <w:sz w:val="21"/>
                <w:szCs w:val="21"/>
                <w:highlight w:val="none"/>
                <w:lang w:val="en-US" w:eastAsia="zh-CN" w:bidi="ar"/>
              </w:rPr>
              <w:t>亿元</w:t>
            </w:r>
            <w:r>
              <w:rPr>
                <w:rFonts w:hint="default" w:ascii="Times New Roman" w:hAnsi="Times New Roman" w:eastAsia="宋体" w:cs="Times New Roman"/>
                <w:b/>
                <w:bCs/>
                <w:color w:val="auto"/>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bookmarkStart w:id="5" w:name="OLE_LINK8" w:colFirst="1" w:colLast="3"/>
            <w:r>
              <w:rPr>
                <w:rFonts w:hint="default" w:ascii="Times New Roman" w:hAnsi="Times New Roman" w:eastAsia="宋体" w:cs="Times New Roman"/>
                <w:b/>
                <w:color w:val="auto"/>
                <w:kern w:val="0"/>
                <w:sz w:val="21"/>
                <w:szCs w:val="21"/>
                <w:highlight w:val="none"/>
                <w:lang w:val="en-US" w:eastAsia="zh-CN" w:bidi="ar"/>
              </w:rPr>
              <w:t>合　计</w:t>
            </w:r>
          </w:p>
        </w:tc>
        <w:tc>
          <w:tcPr>
            <w:tcW w:w="135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40.6</w:t>
            </w:r>
          </w:p>
        </w:tc>
        <w:tc>
          <w:tcPr>
            <w:tcW w:w="147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15.00</w:t>
            </w:r>
          </w:p>
        </w:tc>
        <w:tc>
          <w:tcPr>
            <w:tcW w:w="1560" w:type="dxa"/>
            <w:tcBorders>
              <w:top w:val="single" w:color="auto" w:sz="4" w:space="0"/>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45.31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批发业</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652"/>
              </w:tabs>
              <w:jc w:val="right"/>
              <w:textAlignment w:val="center"/>
              <w:rPr>
                <w:rFonts w:hint="default" w:ascii="Times New Roman" w:hAnsi="Times New Roman" w:eastAsia="宋体" w:cs="Times New Roman"/>
                <w:b/>
                <w:bCs/>
                <w:i w:val="0"/>
                <w:iCs w:val="0"/>
                <w:color w:val="auto"/>
                <w:kern w:val="2"/>
                <w:sz w:val="21"/>
                <w:szCs w:val="21"/>
                <w:u w:val="none"/>
                <w:lang w:val="en" w:eastAsia="zh-CN" w:bidi="ar-SA"/>
              </w:rPr>
            </w:pPr>
            <w:r>
              <w:rPr>
                <w:rFonts w:hint="eastAsia" w:eastAsia="宋体" w:cs="Times New Roman"/>
                <w:b/>
                <w:bCs/>
                <w:i w:val="0"/>
                <w:iCs w:val="0"/>
                <w:color w:val="auto"/>
                <w:kern w:val="2"/>
                <w:sz w:val="21"/>
                <w:szCs w:val="21"/>
                <w:u w:val="none"/>
                <w:lang w:val="en-US" w:eastAsia="zh-CN" w:bidi="ar-SA"/>
              </w:rPr>
              <w:t>12.05</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367"/>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 w:eastAsia="zh-CN" w:bidi="ar-SA"/>
              </w:rPr>
            </w:pPr>
            <w:r>
              <w:rPr>
                <w:rFonts w:hint="eastAsia" w:eastAsia="宋体" w:cs="Times New Roman"/>
                <w:b/>
                <w:bCs/>
                <w:i w:val="0"/>
                <w:iCs w:val="0"/>
                <w:color w:val="auto"/>
                <w:kern w:val="2"/>
                <w:sz w:val="21"/>
                <w:szCs w:val="21"/>
                <w:u w:val="none"/>
                <w:lang w:val="en-US" w:eastAsia="zh-CN" w:bidi="ar-SA"/>
              </w:rPr>
              <w:t>4.50</w:t>
            </w:r>
          </w:p>
        </w:tc>
        <w:tc>
          <w:tcPr>
            <w:tcW w:w="1560" w:type="dxa"/>
            <w:tcBorders>
              <w:top w:val="nil"/>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14.09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bookmarkStart w:id="6" w:name="OLE_LINK5" w:colFirst="3" w:colLast="3"/>
            <w:bookmarkStart w:id="7" w:name="OLE_LINK4" w:colFirst="2" w:colLast="2"/>
            <w:r>
              <w:rPr>
                <w:rFonts w:hint="default" w:ascii="Times New Roman" w:hAnsi="Times New Roman" w:eastAsia="宋体" w:cs="Times New Roman"/>
                <w:color w:val="auto"/>
                <w:kern w:val="0"/>
                <w:sz w:val="21"/>
                <w:szCs w:val="21"/>
                <w:highlight w:val="none"/>
                <w:lang w:val="en-US" w:eastAsia="zh-CN" w:bidi="ar"/>
              </w:rPr>
              <w:t>农、林、牧、渔产品批发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1.87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0.54</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1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5.42</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88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1.80</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纺织、服装及家庭用品批发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4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1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88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6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90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5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1.20</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81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1.52</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矿产品、建材及化工产品批发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7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2.57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78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0.55</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5.38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机械设备、五金产品及电子产品批发</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0.03</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3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0.01</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贸易经纪与代理</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23"/>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其他批发业</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68"/>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0.89</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0.08</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84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 w:eastAsia="zh-CN" w:bidi="ar-SA"/>
              </w:rPr>
              <w:tab/>
            </w:r>
            <w:r>
              <w:rPr>
                <w:rFonts w:hint="eastAsia" w:eastAsia="宋体" w:cs="Times New Roman"/>
                <w:i w:val="0"/>
                <w:iCs w:val="0"/>
                <w:color w:val="auto"/>
                <w:kern w:val="2"/>
                <w:sz w:val="21"/>
                <w:szCs w:val="21"/>
                <w:u w:val="none"/>
                <w:lang w:val="en-US" w:eastAsia="zh-CN" w:bidi="ar-SA"/>
              </w:rPr>
              <w:t>0.75</w:t>
            </w:r>
          </w:p>
        </w:tc>
      </w:tr>
      <w:bookmarkEnd w:id="6"/>
      <w:bookmarkEnd w:id="7"/>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零售业</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373"/>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 w:eastAsia="zh-CN" w:bidi="ar-SA"/>
              </w:rPr>
            </w:pPr>
            <w:r>
              <w:rPr>
                <w:rFonts w:hint="eastAsia" w:eastAsia="宋体" w:cs="Times New Roman"/>
                <w:b/>
                <w:bCs/>
                <w:i w:val="0"/>
                <w:iCs w:val="0"/>
                <w:color w:val="auto"/>
                <w:kern w:val="2"/>
                <w:sz w:val="21"/>
                <w:szCs w:val="21"/>
                <w:u w:val="none"/>
                <w:lang w:val="en-US" w:eastAsia="zh-CN" w:bidi="ar-SA"/>
              </w:rPr>
              <w:t>28.55</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403"/>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 w:eastAsia="zh-CN" w:bidi="ar-SA"/>
              </w:rPr>
            </w:pPr>
            <w:r>
              <w:rPr>
                <w:rFonts w:hint="eastAsia" w:eastAsia="宋体" w:cs="Times New Roman"/>
                <w:b/>
                <w:bCs/>
                <w:i w:val="0"/>
                <w:iCs w:val="0"/>
                <w:color w:val="auto"/>
                <w:kern w:val="2"/>
                <w:sz w:val="21"/>
                <w:szCs w:val="21"/>
                <w:u w:val="none"/>
                <w:lang w:val="en-US" w:eastAsia="zh-CN" w:bidi="ar-SA"/>
              </w:rPr>
              <w:t>10.50</w:t>
            </w:r>
          </w:p>
        </w:tc>
        <w:tc>
          <w:tcPr>
            <w:tcW w:w="1560" w:type="dxa"/>
            <w:tcBorders>
              <w:top w:val="nil"/>
              <w:left w:val="single" w:color="auto" w:sz="4" w:space="0"/>
              <w:bottom w:val="nil"/>
              <w:right w:val="nil"/>
            </w:tcBorders>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31.22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bookmarkStart w:id="8" w:name="OLE_LINK6" w:colFirst="3" w:colLast="3"/>
            <w:r>
              <w:rPr>
                <w:rFonts w:hint="default" w:ascii="Times New Roman" w:hAnsi="Times New Roman" w:eastAsia="宋体" w:cs="Times New Roman"/>
                <w:color w:val="auto"/>
                <w:kern w:val="0"/>
                <w:sz w:val="21"/>
                <w:szCs w:val="21"/>
                <w:highlight w:val="none"/>
                <w:lang w:val="en-US" w:eastAsia="zh-CN" w:bidi="ar"/>
              </w:rPr>
              <w:t>综合零售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3.67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1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0.20</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4.59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食品、饮料及烟草制品专门零售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93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12.67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88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6.45</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85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10.75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纺织、服装及日用品专门零售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8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0.49</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0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0.02</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文化、体育用品及器材专门零售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8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0.10</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6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78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医药及医疗器材专门零售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75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1.29</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84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0.29</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汽车、摩托车、零配件和燃料及其他动力销售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1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6.67</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81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2.17</w:t>
            </w:r>
          </w:p>
        </w:tc>
        <w:tc>
          <w:tcPr>
            <w:tcW w:w="1560" w:type="dxa"/>
            <w:tcBorders>
              <w:top w:val="nil"/>
              <w:left w:val="single" w:color="auto" w:sz="4" w:space="0"/>
              <w:bottom w:val="nil"/>
              <w:right w:val="nil"/>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家用电器及电子产品专门零售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tabs>
                <w:tab w:val="left" w:pos="82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0.73</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94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0.31</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94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五金、家具及室内装饰材料专门零售</w:t>
            </w:r>
          </w:p>
        </w:tc>
        <w:tc>
          <w:tcPr>
            <w:tcW w:w="1350" w:type="dxa"/>
            <w:tcBorders>
              <w:top w:val="nil"/>
              <w:left w:val="single" w:color="auto" w:sz="4" w:space="0"/>
              <w:bottom w:val="nil"/>
              <w:right w:val="single" w:color="auto" w:sz="4" w:space="0"/>
            </w:tcBorders>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1.46</w:t>
            </w:r>
          </w:p>
        </w:tc>
        <w:tc>
          <w:tcPr>
            <w:tcW w:w="1470" w:type="dxa"/>
            <w:tcBorders>
              <w:top w:val="nil"/>
              <w:left w:val="single" w:color="auto" w:sz="4" w:space="0"/>
              <w:bottom w:val="nil"/>
              <w:right w:val="single" w:color="auto" w:sz="4" w:space="0"/>
            </w:tcBorders>
            <w:vAlign w:val="center"/>
          </w:tcPr>
          <w:p>
            <w:pPr>
              <w:keepNext w:val="0"/>
              <w:keepLines w:val="0"/>
              <w:widowControl/>
              <w:suppressLineNumbers w:val="0"/>
              <w:tabs>
                <w:tab w:val="left" w:pos="100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0.51</w:t>
            </w:r>
          </w:p>
        </w:tc>
        <w:tc>
          <w:tcPr>
            <w:tcW w:w="1560" w:type="dxa"/>
            <w:tcBorders>
              <w:top w:val="nil"/>
              <w:left w:val="single" w:color="auto" w:sz="4" w:space="0"/>
              <w:bottom w:val="nil"/>
              <w:right w:val="nil"/>
            </w:tcBorders>
            <w:vAlign w:val="center"/>
          </w:tcPr>
          <w:p>
            <w:pPr>
              <w:keepNext w:val="0"/>
              <w:keepLines w:val="0"/>
              <w:widowControl/>
              <w:suppressLineNumbers w:val="0"/>
              <w:tabs>
                <w:tab w:val="left" w:pos="79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291"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货摊、无店铺及其他零售业</w:t>
            </w:r>
          </w:p>
        </w:tc>
        <w:tc>
          <w:tcPr>
            <w:tcW w:w="1350"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tabs>
                <w:tab w:val="left" w:pos="94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1.47</w:t>
            </w:r>
          </w:p>
        </w:tc>
        <w:tc>
          <w:tcPr>
            <w:tcW w:w="1470"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tabs>
                <w:tab w:val="left" w:pos="724"/>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0.55</w:t>
            </w:r>
          </w:p>
        </w:tc>
        <w:tc>
          <w:tcPr>
            <w:tcW w:w="1560" w:type="dxa"/>
            <w:tcBorders>
              <w:top w:val="nil"/>
              <w:left w:val="single" w:color="auto" w:sz="4" w:space="0"/>
              <w:bottom w:val="single" w:color="auto" w:sz="12" w:space="0"/>
              <w:right w:val="nil"/>
            </w:tcBorders>
            <w:vAlign w:val="center"/>
          </w:tcPr>
          <w:p>
            <w:pPr>
              <w:keepNext w:val="0"/>
              <w:keepLines w:val="0"/>
              <w:widowControl/>
              <w:suppressLineNumbers w:val="0"/>
              <w:tabs>
                <w:tab w:val="left" w:pos="799"/>
              </w:tabs>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1.11</w:t>
            </w:r>
          </w:p>
        </w:tc>
      </w:tr>
      <w:bookmarkEnd w:id="5"/>
      <w:bookmarkEnd w:id="8"/>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二、交通运输、仓储和邮政业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023年末，全县共有交通运输、仓储和邮政业企业法人单位78个，从业人员504人，分别比2018年末增长52.94%和-0.80%（详见表4-4）。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表4-4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57"/>
        <w:gridCol w:w="2434"/>
        <w:gridCol w:w="24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4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48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75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bookmarkStart w:id="9" w:name="OLE_LINK9" w:colFirst="1" w:colLast="2"/>
            <w:r>
              <w:rPr>
                <w:rFonts w:hint="eastAsia" w:ascii="Times New Roman" w:hAnsi="Times New Roman" w:eastAsia="宋体" w:cs="宋体"/>
                <w:b/>
                <w:color w:val="auto"/>
                <w:kern w:val="0"/>
                <w:sz w:val="21"/>
                <w:szCs w:val="21"/>
                <w:highlight w:val="none"/>
                <w:lang w:val="en-US" w:eastAsia="zh-CN" w:bidi="ar"/>
              </w:rPr>
              <w:t>合　计</w:t>
            </w:r>
          </w:p>
        </w:tc>
        <w:tc>
          <w:tcPr>
            <w:tcW w:w="243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78</w:t>
            </w:r>
          </w:p>
        </w:tc>
        <w:tc>
          <w:tcPr>
            <w:tcW w:w="248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道路运输业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56</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水上运输业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eastAsia="宋体" w:cs="宋体"/>
                <w:color w:val="auto"/>
                <w:kern w:val="0"/>
                <w:sz w:val="21"/>
                <w:szCs w:val="21"/>
                <w:highlight w:val="none"/>
                <w:lang w:val="en-US" w:eastAsia="zh-CN" w:bidi="ar"/>
              </w:rPr>
              <w:t>4</w:t>
            </w:r>
            <w:r>
              <w:rPr>
                <w:rFonts w:hint="eastAsia" w:ascii="Times New Roman" w:hAnsi="Times New Roman" w:eastAsia="宋体" w:cs="宋体"/>
                <w:color w:val="auto"/>
                <w:kern w:val="0"/>
                <w:sz w:val="21"/>
                <w:szCs w:val="21"/>
                <w:highlight w:val="none"/>
                <w:lang w:val="en-US" w:eastAsia="zh-CN" w:bidi="ar"/>
              </w:rPr>
              <w:t>航空运输业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管</w:t>
            </w:r>
            <w:r>
              <w:rPr>
                <w:rFonts w:hint="eastAsia" w:eastAsia="宋体" w:cs="宋体"/>
                <w:color w:val="auto"/>
                <w:kern w:val="0"/>
                <w:sz w:val="21"/>
                <w:szCs w:val="21"/>
                <w:highlight w:val="none"/>
                <w:lang w:val="en-US" w:eastAsia="zh-CN" w:bidi="ar"/>
              </w:rPr>
              <w:t>0</w:t>
            </w:r>
            <w:r>
              <w:rPr>
                <w:rFonts w:hint="eastAsia" w:ascii="Times New Roman" w:hAnsi="Times New Roman" w:eastAsia="宋体" w:cs="宋体"/>
                <w:color w:val="auto"/>
                <w:kern w:val="0"/>
                <w:sz w:val="21"/>
                <w:szCs w:val="21"/>
                <w:highlight w:val="none"/>
                <w:lang w:val="en-US" w:eastAsia="zh-CN" w:bidi="ar"/>
              </w:rPr>
              <w:t>道运输业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多式</w:t>
            </w:r>
            <w:r>
              <w:rPr>
                <w:rFonts w:hint="eastAsia" w:eastAsia="宋体" w:cs="宋体"/>
                <w:color w:val="auto"/>
                <w:kern w:val="0"/>
                <w:sz w:val="21"/>
                <w:szCs w:val="21"/>
                <w:highlight w:val="none"/>
                <w:lang w:val="en-US" w:eastAsia="zh-CN" w:bidi="ar"/>
              </w:rPr>
              <w:t>53</w:t>
            </w:r>
            <w:r>
              <w:rPr>
                <w:rFonts w:hint="eastAsia" w:ascii="Times New Roman" w:hAnsi="Times New Roman" w:eastAsia="宋体" w:cs="宋体"/>
                <w:color w:val="auto"/>
                <w:kern w:val="0"/>
                <w:sz w:val="21"/>
                <w:szCs w:val="21"/>
                <w:highlight w:val="none"/>
                <w:lang w:val="en-US" w:eastAsia="zh-CN" w:bidi="ar"/>
              </w:rPr>
              <w:t>联运和运输代理业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装卸搬运</w:t>
            </w:r>
            <w:r>
              <w:rPr>
                <w:rFonts w:hint="eastAsia" w:eastAsia="宋体" w:cs="宋体"/>
                <w:color w:val="auto"/>
                <w:kern w:val="0"/>
                <w:sz w:val="21"/>
                <w:szCs w:val="21"/>
                <w:highlight w:val="none"/>
                <w:lang w:val="en-US" w:eastAsia="zh-CN" w:bidi="ar"/>
              </w:rPr>
              <w:t>51</w:t>
            </w:r>
            <w:r>
              <w:rPr>
                <w:rFonts w:hint="eastAsia" w:ascii="Times New Roman" w:hAnsi="Times New Roman" w:eastAsia="宋体" w:cs="宋体"/>
                <w:color w:val="auto"/>
                <w:kern w:val="0"/>
                <w:sz w:val="21"/>
                <w:szCs w:val="21"/>
                <w:highlight w:val="none"/>
                <w:lang w:val="en-US" w:eastAsia="zh-CN" w:bidi="ar"/>
              </w:rPr>
              <w:t>和仓储业</w:t>
            </w:r>
          </w:p>
        </w:tc>
        <w:tc>
          <w:tcPr>
            <w:tcW w:w="243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w:t>
            </w:r>
          </w:p>
        </w:tc>
        <w:tc>
          <w:tcPr>
            <w:tcW w:w="248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5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邮政业</w:t>
            </w:r>
            <w:r>
              <w:rPr>
                <w:rFonts w:hint="eastAsia" w:eastAsia="宋体" w:cs="宋体"/>
                <w:color w:val="auto"/>
                <w:kern w:val="0"/>
                <w:sz w:val="21"/>
                <w:szCs w:val="21"/>
                <w:highlight w:val="none"/>
                <w:lang w:val="en-US" w:eastAsia="zh-CN" w:bidi="ar"/>
              </w:rPr>
              <w:t>28</w:t>
            </w:r>
          </w:p>
        </w:tc>
        <w:tc>
          <w:tcPr>
            <w:tcW w:w="243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w:t>
            </w:r>
          </w:p>
        </w:tc>
        <w:tc>
          <w:tcPr>
            <w:tcW w:w="248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78</w:t>
            </w:r>
          </w:p>
        </w:tc>
      </w:tr>
      <w:bookmarkEnd w:id="9"/>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在交通运输、仓储和邮政业企业法人单位中，内资企业占100%，港澳台投资企业占0%，外商投资企业占0%。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在交通运输、仓储和邮政业企业法人单位从业人员中，内资企业占100%，港澳台投资企业占0%，外商投资企业占0%（详见表4-5）。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表4-5　按登记注册统计类别分组的交通运输、仓储和邮政业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30"/>
        <w:gridCol w:w="2416"/>
        <w:gridCol w:w="242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3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241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42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41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78</w:t>
            </w:r>
          </w:p>
        </w:tc>
        <w:tc>
          <w:tcPr>
            <w:tcW w:w="242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41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78</w:t>
            </w:r>
          </w:p>
        </w:tc>
        <w:tc>
          <w:tcPr>
            <w:tcW w:w="242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241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42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41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42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30"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41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0</w:t>
            </w:r>
          </w:p>
        </w:tc>
        <w:tc>
          <w:tcPr>
            <w:tcW w:w="242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2023年末，交通运输、仓储和邮政业企业法人单位资产总计1.141亿元，比2018年末减少18.50%；负债合计0.21亿元，比2018年末减少68.18%。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2023年，交通运输、仓储和邮政业企业法人单位全年实现营业收入1.625亿元，比2018年增长25%（详见表4-6）。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表4-6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28"/>
        <w:gridCol w:w="1647"/>
        <w:gridCol w:w="1647"/>
        <w:gridCol w:w="1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2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4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4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5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bookmarkStart w:id="10" w:name="OLE_LINK10" w:colFirst="1" w:colLast="3"/>
            <w:r>
              <w:rPr>
                <w:rFonts w:hint="eastAsia" w:ascii="Times New Roman" w:hAnsi="Times New Roman" w:eastAsia="宋体" w:cs="宋体"/>
                <w:b/>
                <w:color w:val="auto"/>
                <w:kern w:val="0"/>
                <w:sz w:val="21"/>
                <w:szCs w:val="21"/>
                <w:highlight w:val="none"/>
                <w:lang w:val="en-US" w:eastAsia="zh-CN" w:bidi="ar"/>
              </w:rPr>
              <w:t>合　计</w:t>
            </w:r>
          </w:p>
        </w:tc>
        <w:tc>
          <w:tcPr>
            <w:tcW w:w="164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1.141</w:t>
            </w:r>
          </w:p>
        </w:tc>
        <w:tc>
          <w:tcPr>
            <w:tcW w:w="164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0.21</w:t>
            </w:r>
          </w:p>
        </w:tc>
        <w:tc>
          <w:tcPr>
            <w:tcW w:w="165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1.625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0"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bookmarkStart w:id="11" w:name="OLE_LINK1" w:colFirst="3" w:colLast="3"/>
            <w:r>
              <w:rPr>
                <w:rFonts w:hint="eastAsia" w:ascii="Times New Roman" w:hAnsi="Times New Roman" w:eastAsia="宋体" w:cs="宋体"/>
                <w:color w:val="auto"/>
                <w:kern w:val="0"/>
                <w:sz w:val="21"/>
                <w:szCs w:val="21"/>
                <w:highlight w:val="none"/>
                <w:lang w:val="en-US" w:eastAsia="zh-CN" w:bidi="ar"/>
              </w:rPr>
              <w:t>铁路运输业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道路运输业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0.652</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0.09</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水上运输业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0.003</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航空运输业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管道运输业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0.049</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多式联运和运输代理业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0.164</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0.11</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装卸搬运和仓储业</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0.264</w:t>
            </w:r>
          </w:p>
        </w:tc>
        <w:tc>
          <w:tcPr>
            <w:tcW w:w="164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0.01</w:t>
            </w:r>
          </w:p>
        </w:tc>
        <w:tc>
          <w:tcPr>
            <w:tcW w:w="165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2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邮政业</w:t>
            </w:r>
          </w:p>
        </w:tc>
        <w:tc>
          <w:tcPr>
            <w:tcW w:w="164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0.009</w:t>
            </w:r>
          </w:p>
        </w:tc>
        <w:tc>
          <w:tcPr>
            <w:tcW w:w="164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5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0.09</w:t>
            </w:r>
          </w:p>
        </w:tc>
      </w:tr>
      <w:bookmarkEnd w:id="10"/>
      <w:bookmarkEnd w:id="11"/>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黑体" w:cs="Times New Roman"/>
          <w:b w:val="0"/>
          <w:bCs/>
          <w:i w:val="0"/>
          <w:caps w:val="0"/>
          <w:color w:val="auto"/>
          <w:spacing w:val="0"/>
          <w:kern w:val="0"/>
          <w:sz w:val="32"/>
          <w:szCs w:val="32"/>
          <w:highlight w:val="none"/>
          <w:lang w:val="en-US" w:eastAsia="zh-CN" w:bidi="ar"/>
        </w:rPr>
        <w:t>三、住宿和餐饮业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i w:val="0"/>
          <w:caps w:val="0"/>
          <w:color w:val="auto"/>
          <w:spacing w:val="0"/>
          <w:kern w:val="0"/>
          <w:sz w:val="32"/>
          <w:szCs w:val="32"/>
          <w:highlight w:val="none"/>
          <w:lang w:val="en-US" w:eastAsia="zh-CN" w:bidi="ar"/>
        </w:rPr>
      </w:pPr>
      <w:r>
        <w:rPr>
          <w:rFonts w:hint="default" w:ascii="Times New Roman" w:hAnsi="Times New Roman" w:eastAsia="楷体_GB2312" w:cs="Times New Roman"/>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2023年末，全</w:t>
      </w:r>
      <w:r>
        <w:rPr>
          <w:rFonts w:hint="eastAsia" w:ascii="仿宋_GB2312" w:hAnsi="仿宋_GB2312" w:eastAsia="仿宋_GB2312" w:cs="仿宋_GB2312"/>
          <w:color w:val="auto"/>
          <w:kern w:val="2"/>
          <w:sz w:val="32"/>
          <w:szCs w:val="32"/>
          <w:lang w:val="en-US" w:eastAsia="zh-CN" w:bidi="ar-SA"/>
        </w:rPr>
        <w:t>县</w:t>
      </w:r>
      <w:r>
        <w:rPr>
          <w:rFonts w:hint="default" w:ascii="仿宋_GB2312" w:hAnsi="仿宋_GB2312" w:eastAsia="仿宋_GB2312" w:cs="仿宋_GB2312"/>
          <w:color w:val="auto"/>
          <w:kern w:val="2"/>
          <w:sz w:val="32"/>
          <w:szCs w:val="32"/>
          <w:lang w:val="en-US" w:eastAsia="zh-CN" w:bidi="ar-SA"/>
        </w:rPr>
        <w:t>共有住宿和餐饮业企业法人单位</w:t>
      </w:r>
      <w:r>
        <w:rPr>
          <w:rFonts w:hint="eastAsia" w:ascii="仿宋_GB2312" w:hAnsi="仿宋_GB2312" w:eastAsia="仿宋_GB2312" w:cs="仿宋_GB2312"/>
          <w:color w:val="auto"/>
          <w:kern w:val="2"/>
          <w:sz w:val="32"/>
          <w:szCs w:val="32"/>
          <w:lang w:val="en-US" w:eastAsia="zh-CN" w:bidi="ar-SA"/>
        </w:rPr>
        <w:t>177</w:t>
      </w:r>
      <w:r>
        <w:rPr>
          <w:rFonts w:hint="default" w:ascii="仿宋_GB2312" w:hAnsi="仿宋_GB2312" w:eastAsia="仿宋_GB2312" w:cs="仿宋_GB2312"/>
          <w:color w:val="auto"/>
          <w:kern w:val="2"/>
          <w:sz w:val="32"/>
          <w:szCs w:val="32"/>
          <w:lang w:val="en-US" w:eastAsia="zh-CN" w:bidi="ar-SA"/>
        </w:rPr>
        <w:t>个，从业人员</w:t>
      </w:r>
      <w:r>
        <w:rPr>
          <w:rFonts w:hint="eastAsia" w:ascii="仿宋_GB2312" w:hAnsi="仿宋_GB2312" w:eastAsia="仿宋_GB2312" w:cs="仿宋_GB2312"/>
          <w:color w:val="auto"/>
          <w:kern w:val="2"/>
          <w:sz w:val="32"/>
          <w:szCs w:val="32"/>
          <w:lang w:val="en-US" w:eastAsia="zh-CN" w:bidi="ar-SA"/>
        </w:rPr>
        <w:t>859</w:t>
      </w:r>
      <w:r>
        <w:rPr>
          <w:rFonts w:hint="default" w:ascii="仿宋_GB2312" w:hAnsi="仿宋_GB2312" w:eastAsia="仿宋_GB2312" w:cs="仿宋_GB2312"/>
          <w:color w:val="auto"/>
          <w:kern w:val="2"/>
          <w:sz w:val="32"/>
          <w:szCs w:val="32"/>
          <w:lang w:val="en-US" w:eastAsia="zh-CN" w:bidi="ar-SA"/>
        </w:rPr>
        <w:t>人，分别比2018年末增长</w:t>
      </w:r>
      <w:r>
        <w:rPr>
          <w:rFonts w:hint="eastAsia" w:ascii="仿宋_GB2312" w:hAnsi="仿宋_GB2312" w:eastAsia="仿宋_GB2312" w:cs="仿宋_GB2312"/>
          <w:color w:val="auto"/>
          <w:kern w:val="2"/>
          <w:sz w:val="32"/>
          <w:szCs w:val="32"/>
          <w:lang w:val="en-US" w:eastAsia="zh-CN" w:bidi="ar-SA"/>
        </w:rPr>
        <w:t>43.90</w:t>
      </w:r>
      <w:r>
        <w:rPr>
          <w:rFonts w:hint="default" w:ascii="仿宋_GB2312" w:hAnsi="仿宋_GB2312" w:eastAsia="仿宋_GB2312" w:cs="仿宋_GB2312"/>
          <w:color w:val="auto"/>
          <w:kern w:val="2"/>
          <w:sz w:val="32"/>
          <w:szCs w:val="32"/>
          <w:lang w:val="en-US" w:eastAsia="zh-CN" w:bidi="ar-SA"/>
        </w:rPr>
        <w:t>%和</w:t>
      </w:r>
      <w:r>
        <w:rPr>
          <w:rFonts w:hint="eastAsia" w:ascii="仿宋_GB2312" w:hAnsi="仿宋_GB2312" w:eastAsia="仿宋_GB2312" w:cs="仿宋_GB2312"/>
          <w:color w:val="auto"/>
          <w:kern w:val="2"/>
          <w:sz w:val="32"/>
          <w:szCs w:val="32"/>
          <w:lang w:val="en-US" w:eastAsia="zh-CN" w:bidi="ar-SA"/>
        </w:rPr>
        <w:t>12.58</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在住宿和餐饮业企业法人单位中，住宿业占</w:t>
      </w:r>
      <w:r>
        <w:rPr>
          <w:rFonts w:hint="eastAsia" w:ascii="仿宋_GB2312" w:hAnsi="仿宋_GB2312" w:eastAsia="仿宋_GB2312" w:cs="仿宋_GB2312"/>
          <w:color w:val="auto"/>
          <w:kern w:val="2"/>
          <w:sz w:val="32"/>
          <w:szCs w:val="32"/>
          <w:lang w:val="en-US" w:eastAsia="zh-CN" w:bidi="ar-SA"/>
        </w:rPr>
        <w:t>19.77</w:t>
      </w:r>
      <w:r>
        <w:rPr>
          <w:rFonts w:hint="default" w:ascii="仿宋_GB2312" w:hAnsi="仿宋_GB2312" w:eastAsia="仿宋_GB2312" w:cs="仿宋_GB2312"/>
          <w:color w:val="auto"/>
          <w:kern w:val="2"/>
          <w:sz w:val="32"/>
          <w:szCs w:val="32"/>
          <w:lang w:val="en-US" w:eastAsia="zh-CN" w:bidi="ar-SA"/>
        </w:rPr>
        <w:t>%，餐饮业占</w:t>
      </w:r>
      <w:r>
        <w:rPr>
          <w:rFonts w:hint="eastAsia" w:ascii="仿宋_GB2312" w:hAnsi="仿宋_GB2312" w:eastAsia="仿宋_GB2312" w:cs="仿宋_GB2312"/>
          <w:color w:val="auto"/>
          <w:kern w:val="2"/>
          <w:sz w:val="32"/>
          <w:szCs w:val="32"/>
          <w:lang w:val="en-US" w:eastAsia="zh-CN" w:bidi="ar-SA"/>
        </w:rPr>
        <w:t>80.23</w:t>
      </w:r>
      <w:r>
        <w:rPr>
          <w:rFonts w:hint="default" w:ascii="仿宋_GB2312" w:hAnsi="仿宋_GB2312" w:eastAsia="仿宋_GB2312" w:cs="仿宋_GB2312"/>
          <w:color w:val="auto"/>
          <w:kern w:val="2"/>
          <w:sz w:val="32"/>
          <w:szCs w:val="32"/>
          <w:lang w:val="en-US" w:eastAsia="zh-CN" w:bidi="ar-SA"/>
        </w:rPr>
        <w:t>%。在住宿和餐饮业企业法人单位从业人员中，住宿业占</w:t>
      </w:r>
      <w:r>
        <w:rPr>
          <w:rFonts w:hint="eastAsia" w:ascii="仿宋_GB2312" w:hAnsi="仿宋_GB2312" w:eastAsia="仿宋_GB2312" w:cs="仿宋_GB2312"/>
          <w:color w:val="auto"/>
          <w:kern w:val="2"/>
          <w:sz w:val="32"/>
          <w:szCs w:val="32"/>
          <w:lang w:val="en-US" w:eastAsia="zh-CN" w:bidi="ar-SA"/>
        </w:rPr>
        <w:t>28.75</w:t>
      </w:r>
      <w:r>
        <w:rPr>
          <w:rFonts w:hint="default" w:ascii="仿宋_GB2312" w:hAnsi="仿宋_GB2312" w:eastAsia="仿宋_GB2312" w:cs="仿宋_GB2312"/>
          <w:color w:val="auto"/>
          <w:kern w:val="2"/>
          <w:sz w:val="32"/>
          <w:szCs w:val="32"/>
          <w:lang w:val="en-US" w:eastAsia="zh-CN" w:bidi="ar-SA"/>
        </w:rPr>
        <w:t>%，餐饮业占</w:t>
      </w:r>
      <w:r>
        <w:rPr>
          <w:rFonts w:hint="eastAsia" w:ascii="仿宋_GB2312" w:hAnsi="仿宋_GB2312" w:eastAsia="仿宋_GB2312" w:cs="仿宋_GB2312"/>
          <w:color w:val="auto"/>
          <w:kern w:val="2"/>
          <w:sz w:val="32"/>
          <w:szCs w:val="32"/>
          <w:lang w:val="en-US" w:eastAsia="zh-CN" w:bidi="ar-SA"/>
        </w:rPr>
        <w:t>71.25</w:t>
      </w:r>
      <w:r>
        <w:rPr>
          <w:rFonts w:hint="default" w:ascii="仿宋_GB2312" w:hAnsi="仿宋_GB2312" w:eastAsia="仿宋_GB2312" w:cs="仿宋_GB2312"/>
          <w:color w:val="auto"/>
          <w:kern w:val="2"/>
          <w:sz w:val="32"/>
          <w:szCs w:val="32"/>
          <w:lang w:val="en-US" w:eastAsia="zh-CN" w:bidi="ar-SA"/>
        </w:rPr>
        <w:t>%（详见表4-7）。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表4-7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 xml:space="preserve">     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65"/>
        <w:gridCol w:w="2776"/>
        <w:gridCol w:w="20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6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default" w:ascii="Times New Roman" w:hAnsi="Times New Roman" w:eastAsia="宋体" w:cs="Times New Roman"/>
                <w:color w:val="auto"/>
                <w:sz w:val="21"/>
                <w:szCs w:val="21"/>
                <w:highlight w:val="none"/>
              </w:rPr>
            </w:pPr>
          </w:p>
        </w:tc>
        <w:tc>
          <w:tcPr>
            <w:tcW w:w="27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（个）</w:t>
            </w:r>
          </w:p>
        </w:tc>
        <w:tc>
          <w:tcPr>
            <w:tcW w:w="203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bookmarkStart w:id="12" w:name="OLE_LINK11" w:colFirst="1" w:colLast="2"/>
            <w:r>
              <w:rPr>
                <w:rFonts w:hint="default" w:ascii="Times New Roman" w:hAnsi="Times New Roman" w:eastAsia="宋体" w:cs="Times New Roman"/>
                <w:b/>
                <w:color w:val="auto"/>
                <w:kern w:val="0"/>
                <w:sz w:val="21"/>
                <w:szCs w:val="21"/>
                <w:highlight w:val="none"/>
                <w:lang w:val="en-US" w:eastAsia="zh-CN" w:bidi="ar"/>
              </w:rPr>
              <w:t>合　计</w:t>
            </w:r>
          </w:p>
        </w:tc>
        <w:tc>
          <w:tcPr>
            <w:tcW w:w="2776"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177</w:t>
            </w:r>
          </w:p>
        </w:tc>
        <w:tc>
          <w:tcPr>
            <w:tcW w:w="2033" w:type="dxa"/>
            <w:tcBorders>
              <w:top w:val="single" w:color="auto" w:sz="4" w:space="0"/>
              <w:left w:val="single" w:color="auto" w:sz="4" w:space="0"/>
              <w:bottom w:val="nil"/>
              <w:right w:val="nil"/>
            </w:tcBorders>
            <w:noWrap w:val="0"/>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住宿业</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35</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旅游饭店</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一般旅馆</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31</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民宿服务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露营地服务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其他住宿业</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2</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餐饮业</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142</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612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正餐服务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102</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483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快餐服务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5</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饮料及冷饮服务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餐饮配送及外卖送餐服务</w:t>
            </w:r>
          </w:p>
        </w:tc>
        <w:tc>
          <w:tcPr>
            <w:tcW w:w="2776"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c>
          <w:tcPr>
            <w:tcW w:w="2033"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其他餐饮业</w:t>
            </w:r>
          </w:p>
        </w:tc>
        <w:tc>
          <w:tcPr>
            <w:tcW w:w="2776"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32</w:t>
            </w:r>
          </w:p>
        </w:tc>
        <w:tc>
          <w:tcPr>
            <w:tcW w:w="2033" w:type="dxa"/>
            <w:tcBorders>
              <w:top w:val="nil"/>
              <w:left w:val="single" w:color="auto" w:sz="4" w:space="0"/>
              <w:bottom w:val="single" w:color="auto" w:sz="12" w:space="0"/>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eastAsia="宋体" w:cs="Times New Roman"/>
                <w:i w:val="0"/>
                <w:iCs w:val="0"/>
                <w:color w:val="auto"/>
                <w:kern w:val="2"/>
                <w:sz w:val="21"/>
                <w:szCs w:val="21"/>
                <w:u w:val="none"/>
                <w:lang w:val="en-US" w:eastAsia="zh-CN" w:bidi="ar-SA"/>
              </w:rPr>
              <w:t>98</w:t>
            </w:r>
          </w:p>
        </w:tc>
      </w:tr>
      <w:bookmarkEnd w:id="12"/>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在住宿和餐饮业企业法人单位中，内资企业占</w:t>
      </w:r>
      <w:r>
        <w:rPr>
          <w:rFonts w:hint="eastAsia" w:ascii="仿宋_GB2312" w:hAnsi="仿宋_GB2312" w:eastAsia="仿宋_GB2312" w:cs="仿宋_GB2312"/>
          <w:color w:val="auto"/>
          <w:kern w:val="2"/>
          <w:sz w:val="32"/>
          <w:szCs w:val="32"/>
          <w:lang w:val="en-US" w:eastAsia="zh-CN" w:bidi="ar-SA"/>
        </w:rPr>
        <w:t>100</w:t>
      </w:r>
      <w:r>
        <w:rPr>
          <w:rFonts w:hint="default" w:ascii="仿宋_GB2312" w:hAnsi="仿宋_GB2312" w:eastAsia="仿宋_GB2312" w:cs="仿宋_GB2312"/>
          <w:color w:val="auto"/>
          <w:kern w:val="2"/>
          <w:sz w:val="32"/>
          <w:szCs w:val="32"/>
          <w:lang w:val="en-US" w:eastAsia="zh-CN" w:bidi="ar-SA"/>
        </w:rPr>
        <w:t>%，港澳台投资企业占</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%，外商投资企业占</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其他统计类别</w:t>
      </w:r>
      <w:r>
        <w:rPr>
          <w:rFonts w:hint="default" w:ascii="仿宋_GB2312" w:hAnsi="仿宋_GB2312" w:eastAsia="仿宋_GB2312" w:cs="仿宋_GB2312"/>
          <w:color w:val="auto"/>
          <w:kern w:val="2"/>
          <w:sz w:val="32"/>
          <w:szCs w:val="32"/>
          <w:lang w:val="en-US" w:eastAsia="zh-CN" w:bidi="ar-SA"/>
        </w:rPr>
        <w:t>占比</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在住宿和餐饮业企业法人单位从业人员中，内资企业占</w:t>
      </w:r>
      <w:r>
        <w:rPr>
          <w:rFonts w:hint="eastAsia" w:ascii="仿宋_GB2312" w:hAnsi="仿宋_GB2312" w:eastAsia="仿宋_GB2312" w:cs="仿宋_GB2312"/>
          <w:color w:val="auto"/>
          <w:kern w:val="2"/>
          <w:sz w:val="32"/>
          <w:szCs w:val="32"/>
          <w:lang w:val="en-US" w:eastAsia="zh-CN" w:bidi="ar-SA"/>
        </w:rPr>
        <w:t>100</w:t>
      </w:r>
      <w:r>
        <w:rPr>
          <w:rFonts w:hint="default" w:ascii="仿宋_GB2312" w:hAnsi="仿宋_GB2312" w:eastAsia="仿宋_GB2312" w:cs="仿宋_GB2312"/>
          <w:color w:val="auto"/>
          <w:kern w:val="2"/>
          <w:sz w:val="32"/>
          <w:szCs w:val="32"/>
          <w:lang w:val="en-US" w:eastAsia="zh-CN" w:bidi="ar-SA"/>
        </w:rPr>
        <w:t>%，港澳台投资企业占</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%，外商投资企业占</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其他统计类别</w:t>
      </w:r>
      <w:r>
        <w:rPr>
          <w:rFonts w:hint="default" w:ascii="仿宋_GB2312" w:hAnsi="仿宋_GB2312" w:eastAsia="仿宋_GB2312" w:cs="仿宋_GB2312"/>
          <w:color w:val="auto"/>
          <w:kern w:val="2"/>
          <w:sz w:val="32"/>
          <w:szCs w:val="32"/>
          <w:lang w:val="en-US" w:eastAsia="zh-CN" w:bidi="ar-SA"/>
        </w:rPr>
        <w:t>占比</w:t>
      </w:r>
      <w:r>
        <w:rPr>
          <w:rFonts w:hint="eastAsia" w:ascii="仿宋_GB2312" w:hAnsi="仿宋_GB2312" w:eastAsia="仿宋_GB2312" w:cs="仿宋_GB2312"/>
          <w:color w:val="auto"/>
          <w:kern w:val="2"/>
          <w:sz w:val="32"/>
          <w:szCs w:val="32"/>
          <w:lang w:val="en-US" w:eastAsia="zh-CN" w:bidi="ar-SA"/>
        </w:rPr>
        <w:t>0</w:t>
      </w:r>
      <w:r>
        <w:rPr>
          <w:rFonts w:hint="default" w:ascii="仿宋_GB2312" w:hAnsi="仿宋_GB2312" w:eastAsia="仿宋_GB2312" w:cs="仿宋_GB2312"/>
          <w:color w:val="auto"/>
          <w:kern w:val="2"/>
          <w:sz w:val="32"/>
          <w:szCs w:val="32"/>
          <w:lang w:val="en-US" w:eastAsia="zh-CN" w:bidi="ar-SA"/>
        </w:rPr>
        <w:t>%。（详见表4-8）。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both"/>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表4-8　按登记注册统计类别分组的住宿和餐饮业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 xml:space="preserve"> 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ind w:firstLine="421" w:firstLineChars="200"/>
              <w:jc w:val="righ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177</w:t>
            </w:r>
          </w:p>
        </w:tc>
        <w:tc>
          <w:tcPr>
            <w:tcW w:w="2059" w:type="dxa"/>
            <w:tcBorders>
              <w:top w:val="single" w:color="auto" w:sz="4" w:space="0"/>
              <w:left w:val="single" w:color="auto" w:sz="4" w:space="0"/>
              <w:bottom w:val="nil"/>
              <w:right w:val="nil"/>
            </w:tcBorders>
            <w:noWrap w:val="0"/>
            <w:vAlign w:val="center"/>
          </w:tcPr>
          <w:p>
            <w:pPr>
              <w:keepNext w:val="0"/>
              <w:keepLines w:val="0"/>
              <w:widowControl/>
              <w:suppressLineNumbers w:val="0"/>
              <w:tabs>
                <w:tab w:val="left" w:pos="997"/>
              </w:tabs>
              <w:ind w:firstLine="421" w:firstLineChars="200"/>
              <w:jc w:val="righ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eastAsia="宋体" w:cs="Times New Roman"/>
                <w:b/>
                <w:bCs/>
                <w:i w:val="0"/>
                <w:iCs w:val="0"/>
                <w:color w:val="auto"/>
                <w:kern w:val="0"/>
                <w:sz w:val="21"/>
                <w:szCs w:val="21"/>
                <w:u w:val="none"/>
                <w:lang w:val="en-US" w:eastAsia="zh-CN" w:bidi="ar"/>
              </w:rPr>
              <w:tab/>
            </w:r>
            <w:r>
              <w:rPr>
                <w:rFonts w:hint="eastAsia" w:eastAsia="宋体" w:cs="Times New Roman"/>
                <w:b/>
                <w:bCs/>
                <w:i w:val="0"/>
                <w:iCs w:val="0"/>
                <w:color w:val="auto"/>
                <w:kern w:val="0"/>
                <w:sz w:val="21"/>
                <w:szCs w:val="21"/>
                <w:u w:val="none"/>
                <w:lang w:val="en-US" w:eastAsia="zh-CN" w:bidi="ar"/>
              </w:rPr>
              <w:t>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177</w:t>
            </w:r>
          </w:p>
        </w:tc>
        <w:tc>
          <w:tcPr>
            <w:tcW w:w="2059" w:type="dxa"/>
            <w:tcBorders>
              <w:top w:val="nil"/>
              <w:left w:val="single" w:color="auto" w:sz="4" w:space="0"/>
              <w:bottom w:val="nil"/>
              <w:right w:val="nil"/>
            </w:tcBorders>
            <w:noWrap w:val="0"/>
            <w:vAlign w:val="center"/>
          </w:tcPr>
          <w:p>
            <w:pPr>
              <w:keepNext w:val="0"/>
              <w:keepLines w:val="0"/>
              <w:widowControl/>
              <w:suppressLineNumbers w:val="0"/>
              <w:tabs>
                <w:tab w:val="left" w:pos="997"/>
              </w:tabs>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 w:eastAsia="zh-CN" w:bidi="ar"/>
              </w:rPr>
              <w:tab/>
            </w:r>
            <w:r>
              <w:rPr>
                <w:rFonts w:hint="eastAsia" w:eastAsia="宋体" w:cs="Times New Roman"/>
                <w:i w:val="0"/>
                <w:iCs w:val="0"/>
                <w:color w:val="auto"/>
                <w:kern w:val="0"/>
                <w:sz w:val="21"/>
                <w:szCs w:val="21"/>
                <w:u w:val="none"/>
                <w:lang w:val="en-US" w:eastAsia="zh-CN" w:bidi="ar"/>
              </w:rPr>
              <w:t>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 w:eastAsia="zh-CN" w:bidi="ar"/>
              </w:rPr>
              <w:t>港澳台</w:t>
            </w:r>
            <w:r>
              <w:rPr>
                <w:rFonts w:hint="default" w:ascii="Times New Roman" w:hAnsi="Times New Roman" w:eastAsia="宋体" w:cs="Times New Roman"/>
                <w:b w:val="0"/>
                <w:bCs/>
                <w:color w:val="auto"/>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c>
          <w:tcPr>
            <w:tcW w:w="2059"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c>
          <w:tcPr>
            <w:tcW w:w="2059" w:type="dxa"/>
            <w:tcBorders>
              <w:top w:val="nil"/>
              <w:left w:val="single" w:color="auto" w:sz="4" w:space="0"/>
              <w:bottom w:val="nil"/>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b w:val="0"/>
                <w:bCs/>
                <w:color w:val="auto"/>
                <w:kern w:val="0"/>
                <w:sz w:val="21"/>
                <w:szCs w:val="21"/>
                <w:highlight w:val="none"/>
                <w:lang w:val="en-US" w:eastAsia="zh-CN" w:bidi="ar"/>
              </w:rPr>
            </w:pPr>
            <w:r>
              <w:rPr>
                <w:rFonts w:hint="default" w:ascii="Times New Roman" w:hAnsi="Times New Roman" w:eastAsia="宋体" w:cs="Times New Roman"/>
                <w:b w:val="0"/>
                <w:bCs/>
                <w:color w:val="auto"/>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c>
          <w:tcPr>
            <w:tcW w:w="2059" w:type="dxa"/>
            <w:tcBorders>
              <w:top w:val="nil"/>
              <w:left w:val="single" w:color="auto" w:sz="4" w:space="0"/>
              <w:bottom w:val="single" w:color="auto" w:sz="12" w:space="0"/>
              <w:right w:val="nil"/>
            </w:tcBorders>
            <w:noWrap w:val="0"/>
            <w:vAlign w:val="center"/>
          </w:tcPr>
          <w:p>
            <w:pPr>
              <w:keepNext w:val="0"/>
              <w:keepLines w:val="0"/>
              <w:widowControl/>
              <w:suppressLineNumbers w:val="0"/>
              <w:ind w:firstLine="420" w:firstLineChars="200"/>
              <w:jc w:val="righ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eastAsia="宋体" w:cs="Times New Roman"/>
                <w:i w:val="0"/>
                <w:iCs w:val="0"/>
                <w:color w:val="auto"/>
                <w:kern w:val="0"/>
                <w:sz w:val="21"/>
                <w:szCs w:val="21"/>
                <w:u w:val="none"/>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firstLine="640" w:firstLineChars="200"/>
        <w:jc w:val="both"/>
        <w:textAlignment w:val="auto"/>
        <w:rPr>
          <w:rFonts w:hint="default" w:ascii="Times New Roman" w:hAnsi="Times New Roman" w:eastAsia="楷体_GB2312" w:cs="Times New Roman"/>
          <w:i w:val="0"/>
          <w:caps w:val="0"/>
          <w:color w:val="auto"/>
          <w:spacing w:val="0"/>
          <w:kern w:val="0"/>
          <w:sz w:val="32"/>
          <w:szCs w:val="32"/>
          <w:highlight w:val="none"/>
          <w:lang w:bidi="ar"/>
        </w:rPr>
      </w:pPr>
      <w:r>
        <w:rPr>
          <w:rFonts w:hint="default" w:ascii="Times New Roman" w:hAnsi="Times New Roman" w:eastAsia="楷体_GB2312" w:cs="Times New Roman"/>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2023年末，住宿和餐饮业企业法人单位资产总计</w:t>
      </w:r>
      <w:r>
        <w:rPr>
          <w:rFonts w:hint="eastAsia" w:ascii="仿宋_GB2312" w:hAnsi="仿宋_GB2312" w:eastAsia="仿宋_GB2312" w:cs="仿宋_GB2312"/>
          <w:color w:val="auto"/>
          <w:kern w:val="2"/>
          <w:sz w:val="32"/>
          <w:szCs w:val="32"/>
          <w:lang w:val="en-US" w:eastAsia="zh-CN" w:bidi="ar-SA"/>
        </w:rPr>
        <w:t xml:space="preserve">1.92 </w:t>
      </w:r>
      <w:r>
        <w:rPr>
          <w:rFonts w:hint="default" w:ascii="仿宋_GB2312" w:hAnsi="仿宋_GB2312" w:eastAsia="仿宋_GB2312" w:cs="仿宋_GB2312"/>
          <w:color w:val="auto"/>
          <w:kern w:val="2"/>
          <w:sz w:val="32"/>
          <w:szCs w:val="32"/>
          <w:lang w:val="en-US" w:eastAsia="zh-CN" w:bidi="ar-SA"/>
        </w:rPr>
        <w:t>亿元，比2018年末</w:t>
      </w:r>
      <w:r>
        <w:rPr>
          <w:rFonts w:hint="eastAsia" w:ascii="仿宋_GB2312" w:hAnsi="仿宋_GB2312" w:eastAsia="仿宋_GB2312" w:cs="仿宋_GB2312"/>
          <w:color w:val="auto"/>
          <w:kern w:val="2"/>
          <w:sz w:val="32"/>
          <w:szCs w:val="32"/>
          <w:lang w:val="en-US" w:eastAsia="zh-CN" w:bidi="ar-SA"/>
        </w:rPr>
        <w:t>减少15.42</w:t>
      </w:r>
      <w:r>
        <w:rPr>
          <w:rFonts w:hint="default" w:ascii="仿宋_GB2312" w:hAnsi="仿宋_GB2312" w:eastAsia="仿宋_GB2312" w:cs="仿宋_GB2312"/>
          <w:color w:val="auto"/>
          <w:kern w:val="2"/>
          <w:sz w:val="32"/>
          <w:szCs w:val="32"/>
          <w:lang w:val="en-US" w:eastAsia="zh-CN" w:bidi="ar-SA"/>
        </w:rPr>
        <w:t>%；负债合计</w:t>
      </w:r>
      <w:r>
        <w:rPr>
          <w:rFonts w:hint="eastAsia" w:ascii="仿宋_GB2312" w:hAnsi="仿宋_GB2312" w:eastAsia="仿宋_GB2312" w:cs="仿宋_GB2312"/>
          <w:color w:val="auto"/>
          <w:kern w:val="2"/>
          <w:sz w:val="32"/>
          <w:szCs w:val="32"/>
          <w:lang w:val="en-US" w:eastAsia="zh-CN" w:bidi="ar-SA"/>
        </w:rPr>
        <w:t>0.39</w:t>
      </w:r>
      <w:r>
        <w:rPr>
          <w:rFonts w:hint="default" w:ascii="仿宋_GB2312" w:hAnsi="仿宋_GB2312" w:eastAsia="仿宋_GB2312" w:cs="仿宋_GB2312"/>
          <w:color w:val="auto"/>
          <w:kern w:val="2"/>
          <w:sz w:val="32"/>
          <w:szCs w:val="32"/>
          <w:lang w:val="en-US" w:eastAsia="zh-CN" w:bidi="ar-SA"/>
        </w:rPr>
        <w:t>亿元，比2018年末</w:t>
      </w:r>
      <w:r>
        <w:rPr>
          <w:rFonts w:hint="eastAsia" w:ascii="仿宋_GB2312" w:hAnsi="仿宋_GB2312" w:eastAsia="仿宋_GB2312" w:cs="仿宋_GB2312"/>
          <w:color w:val="auto"/>
          <w:kern w:val="2"/>
          <w:sz w:val="32"/>
          <w:szCs w:val="32"/>
          <w:lang w:val="en-US" w:eastAsia="zh-CN" w:bidi="ar-SA"/>
        </w:rPr>
        <w:t>减少25</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2023年，住宿和餐饮业企业法人单位全年实现营业收入</w:t>
      </w:r>
      <w:r>
        <w:rPr>
          <w:rFonts w:hint="eastAsia" w:ascii="仿宋_GB2312" w:hAnsi="仿宋_GB2312" w:eastAsia="仿宋_GB2312" w:cs="仿宋_GB2312"/>
          <w:color w:val="auto"/>
          <w:kern w:val="2"/>
          <w:sz w:val="32"/>
          <w:szCs w:val="32"/>
          <w:lang w:val="en-US" w:eastAsia="zh-CN" w:bidi="ar-SA"/>
        </w:rPr>
        <w:t>2.13</w:t>
      </w:r>
      <w:r>
        <w:rPr>
          <w:rFonts w:hint="default" w:ascii="仿宋_GB2312" w:hAnsi="仿宋_GB2312" w:eastAsia="仿宋_GB2312" w:cs="仿宋_GB2312"/>
          <w:color w:val="auto"/>
          <w:kern w:val="2"/>
          <w:sz w:val="32"/>
          <w:szCs w:val="32"/>
          <w:lang w:val="en-US" w:eastAsia="zh-CN" w:bidi="ar-SA"/>
        </w:rPr>
        <w:t>亿元，比2018年增长</w:t>
      </w:r>
      <w:r>
        <w:rPr>
          <w:rFonts w:hint="eastAsia" w:ascii="仿宋_GB2312" w:hAnsi="仿宋_GB2312" w:eastAsia="仿宋_GB2312" w:cs="仿宋_GB2312"/>
          <w:color w:val="auto"/>
          <w:kern w:val="2"/>
          <w:sz w:val="32"/>
          <w:szCs w:val="32"/>
          <w:lang w:val="en-US" w:eastAsia="zh-CN" w:bidi="ar-SA"/>
        </w:rPr>
        <w:t>66.41</w:t>
      </w:r>
      <w:r>
        <w:rPr>
          <w:rFonts w:hint="default" w:ascii="仿宋_GB2312" w:hAnsi="仿宋_GB2312" w:eastAsia="仿宋_GB2312" w:cs="仿宋_GB2312"/>
          <w:color w:val="auto"/>
          <w:kern w:val="2"/>
          <w:sz w:val="32"/>
          <w:szCs w:val="32"/>
          <w:lang w:val="en-US" w:eastAsia="zh-CN" w:bidi="ar-SA"/>
        </w:rPr>
        <w:t>%（详见表4-9）。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表4-9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default" w:ascii="Times New Roman" w:hAnsi="Times New Roman" w:eastAsia="宋体" w:cs="Times New Roman"/>
          <w:b/>
          <w:i w:val="0"/>
          <w:caps w:val="0"/>
          <w:color w:val="auto"/>
          <w:spacing w:val="0"/>
          <w:kern w:val="0"/>
          <w:sz w:val="24"/>
          <w:szCs w:val="24"/>
          <w:highlight w:val="none"/>
          <w:lang w:val="en-US" w:eastAsia="zh-CN" w:bidi="ar"/>
        </w:rPr>
      </w:pPr>
      <w:r>
        <w:rPr>
          <w:rFonts w:hint="default" w:ascii="Times New Roman" w:hAnsi="Times New Roman" w:eastAsia="宋体" w:cs="Times New Roman"/>
          <w:b/>
          <w:i w:val="0"/>
          <w:caps w:val="0"/>
          <w:color w:val="auto"/>
          <w:spacing w:val="0"/>
          <w:kern w:val="0"/>
          <w:sz w:val="24"/>
          <w:szCs w:val="24"/>
          <w:highlight w:val="none"/>
          <w:lang w:val="en-US" w:eastAsia="zh-CN" w:bidi="ar"/>
        </w:rPr>
        <w:t xml:space="preserve">     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4"/>
        <w:gridCol w:w="1630"/>
        <w:gridCol w:w="1630"/>
        <w:gridCol w:w="16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8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　</w:t>
            </w:r>
          </w:p>
        </w:tc>
        <w:tc>
          <w:tcPr>
            <w:tcW w:w="163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（亿元）</w:t>
            </w:r>
          </w:p>
        </w:tc>
        <w:tc>
          <w:tcPr>
            <w:tcW w:w="163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（亿元）</w:t>
            </w:r>
          </w:p>
        </w:tc>
        <w:tc>
          <w:tcPr>
            <w:tcW w:w="163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合　计</w:t>
            </w:r>
          </w:p>
        </w:tc>
        <w:tc>
          <w:tcPr>
            <w:tcW w:w="1630"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tabs>
                <w:tab w:val="left" w:pos="766"/>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1.92</w:t>
            </w:r>
          </w:p>
        </w:tc>
        <w:tc>
          <w:tcPr>
            <w:tcW w:w="1630"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tabs>
                <w:tab w:val="left" w:pos="996"/>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0.39</w:t>
            </w:r>
          </w:p>
        </w:tc>
        <w:tc>
          <w:tcPr>
            <w:tcW w:w="1630" w:type="dxa"/>
            <w:tcBorders>
              <w:top w:val="single" w:color="auto" w:sz="4" w:space="0"/>
              <w:left w:val="single" w:color="auto" w:sz="4" w:space="0"/>
              <w:bottom w:val="nil"/>
              <w:right w:val="nil"/>
            </w:tcBorders>
            <w:noWrap w:val="0"/>
            <w:vAlign w:val="center"/>
          </w:tcPr>
          <w:p>
            <w:pPr>
              <w:keepNext w:val="0"/>
              <w:keepLines w:val="0"/>
              <w:widowControl/>
              <w:suppressLineNumbers w:val="0"/>
              <w:tabs>
                <w:tab w:val="left" w:pos="866"/>
              </w:tabs>
              <w:ind w:firstLine="421" w:firstLineChars="200"/>
              <w:jc w:val="right"/>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eastAsia" w:eastAsia="宋体" w:cs="Times New Roman"/>
                <w:b/>
                <w:bCs/>
                <w:i w:val="0"/>
                <w:iCs w:val="0"/>
                <w:color w:val="auto"/>
                <w:kern w:val="2"/>
                <w:sz w:val="21"/>
                <w:szCs w:val="21"/>
                <w:u w:val="none"/>
                <w:lang w:val="en-US" w:eastAsia="zh-CN" w:bidi="ar-SA"/>
              </w:rPr>
              <w:t>2.13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bookmarkStart w:id="13" w:name="OLE_LINK12" w:colFirst="1" w:colLast="3"/>
            <w:r>
              <w:rPr>
                <w:rFonts w:hint="default" w:ascii="Times New Roman" w:hAnsi="Times New Roman" w:eastAsia="宋体" w:cs="Times New Roman"/>
                <w:b/>
                <w:color w:val="auto"/>
                <w:kern w:val="0"/>
                <w:sz w:val="21"/>
                <w:szCs w:val="21"/>
                <w:highlight w:val="none"/>
                <w:lang w:val="en-US" w:eastAsia="zh-CN" w:bidi="ar"/>
              </w:rPr>
              <w:t>住宿业</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6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0.59</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7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0.20</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旅游饭店</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5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0.14</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89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0.08</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一般旅馆</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88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0.35</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0.04</w:t>
            </w:r>
          </w:p>
        </w:tc>
        <w:tc>
          <w:tcPr>
            <w:tcW w:w="1630" w:type="dxa"/>
            <w:tcBorders>
              <w:top w:val="nil"/>
              <w:left w:val="single" w:color="auto" w:sz="4" w:space="0"/>
              <w:bottom w:val="nil"/>
              <w:right w:val="nil"/>
            </w:tcBorders>
            <w:noWrap w:val="0"/>
            <w:vAlign w:val="center"/>
          </w:tcPr>
          <w:p>
            <w:pPr>
              <w:keepNext w:val="0"/>
              <w:keepLines w:val="0"/>
              <w:widowControl/>
              <w:suppressLineNumbers w:val="0"/>
              <w:tabs>
                <w:tab w:val="left" w:pos="91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民宿服务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0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101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露营地服务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8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nil"/>
            </w:tcBorders>
            <w:noWrap w:val="0"/>
            <w:vAlign w:val="center"/>
          </w:tcPr>
          <w:p>
            <w:pPr>
              <w:keepNext w:val="0"/>
              <w:keepLines w:val="0"/>
              <w:widowControl/>
              <w:suppressLineNumbers w:val="0"/>
              <w:tabs>
                <w:tab w:val="left" w:pos="91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其他住宿业</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85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0.08</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kern w:val="0"/>
                <w:sz w:val="21"/>
                <w:szCs w:val="21"/>
                <w:highlight w:val="none"/>
                <w:lang w:val="en-US" w:eastAsia="zh-CN" w:bidi="ar"/>
              </w:rPr>
              <w:t>餐饮业</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52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1.33</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0.19</w:t>
            </w:r>
          </w:p>
        </w:tc>
        <w:tc>
          <w:tcPr>
            <w:tcW w:w="1630" w:type="dxa"/>
            <w:tcBorders>
              <w:top w:val="nil"/>
              <w:left w:val="single" w:color="auto" w:sz="4" w:space="0"/>
              <w:bottom w:val="nil"/>
              <w:right w:val="nil"/>
            </w:tcBorders>
            <w:noWrap w:val="0"/>
            <w:vAlign w:val="center"/>
          </w:tcPr>
          <w:p>
            <w:pPr>
              <w:keepNext w:val="0"/>
              <w:keepLines w:val="0"/>
              <w:widowControl/>
              <w:suppressLineNumbers w:val="0"/>
              <w:tabs>
                <w:tab w:val="left" w:pos="71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1.56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正餐服务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6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1.12</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8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0.17</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1.24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快餐服务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99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0.02</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80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nil"/>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饮料及冷饮服务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78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0.03</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981"/>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0.02</w:t>
            </w:r>
          </w:p>
        </w:tc>
        <w:tc>
          <w:tcPr>
            <w:tcW w:w="1630" w:type="dxa"/>
            <w:tcBorders>
              <w:top w:val="nil"/>
              <w:left w:val="single" w:color="auto" w:sz="4" w:space="0"/>
              <w:bottom w:val="nil"/>
              <w:right w:val="nil"/>
            </w:tcBorders>
            <w:noWrap w:val="0"/>
            <w:vAlign w:val="center"/>
          </w:tcPr>
          <w:p>
            <w:pPr>
              <w:keepNext w:val="0"/>
              <w:keepLines w:val="0"/>
              <w:widowControl/>
              <w:suppressLineNumbers w:val="0"/>
              <w:tabs>
                <w:tab w:val="left" w:pos="83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餐饮配送及外卖送餐服务</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single" w:color="auto" w:sz="4" w:space="0"/>
            </w:tcBorders>
            <w:noWrap w:val="0"/>
            <w:vAlign w:val="center"/>
          </w:tcPr>
          <w:p>
            <w:pPr>
              <w:keepNext w:val="0"/>
              <w:keepLines w:val="0"/>
              <w:widowControl/>
              <w:suppressLineNumbers w:val="0"/>
              <w:tabs>
                <w:tab w:val="left" w:pos="84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nil"/>
              <w:right w:val="nil"/>
            </w:tcBorders>
            <w:noWrap w:val="0"/>
            <w:vAlign w:val="center"/>
          </w:tcPr>
          <w:p>
            <w:pPr>
              <w:keepNext w:val="0"/>
              <w:keepLines w:val="0"/>
              <w:widowControl/>
              <w:suppressLineNumbers w:val="0"/>
              <w:tabs>
                <w:tab w:val="left" w:pos="92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其他餐饮业</w:t>
            </w:r>
          </w:p>
        </w:tc>
        <w:tc>
          <w:tcPr>
            <w:tcW w:w="1630"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0.16</w:t>
            </w:r>
          </w:p>
        </w:tc>
        <w:tc>
          <w:tcPr>
            <w:tcW w:w="1630" w:type="dxa"/>
            <w:tcBorders>
              <w:top w:val="nil"/>
              <w:left w:val="single" w:color="auto" w:sz="4" w:space="0"/>
              <w:bottom w:val="single" w:color="auto" w:sz="12" w:space="0"/>
              <w:right w:val="single" w:color="auto" w:sz="4" w:space="0"/>
            </w:tcBorders>
            <w:noWrap w:val="0"/>
            <w:vAlign w:val="center"/>
          </w:tcPr>
          <w:p>
            <w:pPr>
              <w:keepNext w:val="0"/>
              <w:keepLines w:val="0"/>
              <w:widowControl/>
              <w:suppressLineNumbers w:val="0"/>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w:t>
            </w:r>
          </w:p>
        </w:tc>
        <w:tc>
          <w:tcPr>
            <w:tcW w:w="1630" w:type="dxa"/>
            <w:tcBorders>
              <w:top w:val="nil"/>
              <w:left w:val="single" w:color="auto" w:sz="4" w:space="0"/>
              <w:bottom w:val="single" w:color="auto" w:sz="12" w:space="0"/>
              <w:right w:val="nil"/>
            </w:tcBorders>
            <w:noWrap w:val="0"/>
            <w:vAlign w:val="center"/>
          </w:tcPr>
          <w:p>
            <w:pPr>
              <w:keepNext w:val="0"/>
              <w:keepLines w:val="0"/>
              <w:widowControl/>
              <w:suppressLineNumbers w:val="0"/>
              <w:tabs>
                <w:tab w:val="left" w:pos="1016"/>
              </w:tabs>
              <w:ind w:firstLine="440" w:firstLineChars="200"/>
              <w:jc w:val="right"/>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eastAsia" w:eastAsia="宋体" w:cs="Times New Roman"/>
                <w:i w:val="0"/>
                <w:iCs w:val="0"/>
                <w:color w:val="auto"/>
                <w:kern w:val="2"/>
                <w:sz w:val="22"/>
                <w:szCs w:val="22"/>
                <w:u w:val="none"/>
                <w:lang w:val="en-US" w:eastAsia="zh-CN" w:bidi="ar-SA"/>
              </w:rPr>
              <w:t>0.25</w:t>
            </w:r>
          </w:p>
        </w:tc>
      </w:tr>
      <w:bookmarkEnd w:id="13"/>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四、信息传输、软件和信息技术服务业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2023年末，全县共有信息传输、软件和信息技术服务业企业法人单位24个，从业人员104人，分别比2018年末增长4.35%和-11.11%（详见表4-10）。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表4-10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50"/>
        <w:gridCol w:w="2785"/>
        <w:gridCol w:w="20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5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auto"/>
                <w:sz w:val="21"/>
                <w:szCs w:val="21"/>
                <w:highlight w:val="none"/>
              </w:rPr>
            </w:pPr>
          </w:p>
        </w:tc>
        <w:tc>
          <w:tcPr>
            <w:tcW w:w="278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3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78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w:t>
            </w:r>
          </w:p>
        </w:tc>
        <w:tc>
          <w:tcPr>
            <w:tcW w:w="203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电信、广播电视和卫星传输服务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203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互联网和相关服务</w:t>
            </w:r>
          </w:p>
        </w:tc>
        <w:tc>
          <w:tcPr>
            <w:tcW w:w="27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w:t>
            </w:r>
          </w:p>
        </w:tc>
        <w:tc>
          <w:tcPr>
            <w:tcW w:w="203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50"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软件和信息技术服务业</w:t>
            </w:r>
          </w:p>
        </w:tc>
        <w:tc>
          <w:tcPr>
            <w:tcW w:w="278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w:t>
            </w:r>
          </w:p>
        </w:tc>
        <w:tc>
          <w:tcPr>
            <w:tcW w:w="203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在信息传输、软件和信息技术服务业企业法人单位中，内资企业占100 %，港澳台投资企业占0%，外商投资企业占0%。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在信息传输、软件和信息技术服务业企业法人单位从业人员中，内资企业占100%，港澳台投资企业占0%，外商投资企业占0%（详见表4-11）。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表4-11　按登记注册统计类别分组的信息传输、软件和信息技术服务业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8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0" w:hRule="atLeast"/>
          <w:jc w:val="center"/>
        </w:trPr>
        <w:tc>
          <w:tcPr>
            <w:tcW w:w="38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w:t>
            </w:r>
          </w:p>
        </w:tc>
        <w:tc>
          <w:tcPr>
            <w:tcW w:w="205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24</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023年末，信息传输、软件和信息技术服务业企业法人单位资产总计0.16亿元，比2018年末减少20%；负债合计0.04亿元，比2018年末增长100%。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2023年，信息传输、软件和信息技术服务业企业法人单位全年实现营业收入0.19亿元，比2018年减少20.83%（详见表4-12）。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表4-12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985"/>
        <w:gridCol w:w="1561"/>
        <w:gridCol w:w="1561"/>
        <w:gridCol w:w="15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98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56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98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bookmarkStart w:id="14" w:name="OLE_LINK14" w:colFirst="1" w:colLast="3"/>
            <w:r>
              <w:rPr>
                <w:rFonts w:hint="eastAsia" w:ascii="Times New Roman" w:hAnsi="Times New Roman" w:eastAsia="宋体" w:cs="宋体"/>
                <w:b/>
                <w:color w:val="auto"/>
                <w:kern w:val="0"/>
                <w:sz w:val="21"/>
                <w:szCs w:val="21"/>
                <w:highlight w:val="none"/>
                <w:lang w:val="en-US" w:eastAsia="zh-CN" w:bidi="ar"/>
              </w:rPr>
              <w:t>合　计</w:t>
            </w:r>
          </w:p>
        </w:tc>
        <w:tc>
          <w:tcPr>
            <w:tcW w:w="156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0.16</w:t>
            </w:r>
          </w:p>
        </w:tc>
        <w:tc>
          <w:tcPr>
            <w:tcW w:w="156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0.04</w:t>
            </w:r>
          </w:p>
        </w:tc>
        <w:tc>
          <w:tcPr>
            <w:tcW w:w="156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98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电信、广播电视和卫星传输服务</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563"/>
              </w:tabs>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ab/>
            </w:r>
            <w:r>
              <w:rPr>
                <w:rFonts w:hint="eastAsia" w:eastAsia="宋体" w:cs="宋体"/>
                <w:color w:val="auto"/>
                <w:kern w:val="2"/>
                <w:sz w:val="21"/>
                <w:szCs w:val="21"/>
                <w:highlight w:val="none"/>
                <w:lang w:val="en-US" w:eastAsia="zh-CN" w:bidi="ar-SA"/>
              </w:rPr>
              <w:t>0</w:t>
            </w:r>
          </w:p>
        </w:tc>
        <w:tc>
          <w:tcPr>
            <w:tcW w:w="156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8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互联网和相关服务</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0.08</w:t>
            </w:r>
          </w:p>
        </w:tc>
        <w:tc>
          <w:tcPr>
            <w:tcW w:w="156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0.03</w:t>
            </w:r>
          </w:p>
        </w:tc>
        <w:tc>
          <w:tcPr>
            <w:tcW w:w="156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98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软件和信息技术服务业</w:t>
            </w:r>
          </w:p>
        </w:tc>
        <w:tc>
          <w:tcPr>
            <w:tcW w:w="156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0.08</w:t>
            </w:r>
          </w:p>
        </w:tc>
        <w:tc>
          <w:tcPr>
            <w:tcW w:w="156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0.01</w:t>
            </w:r>
          </w:p>
        </w:tc>
        <w:tc>
          <w:tcPr>
            <w:tcW w:w="156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tabs>
                <w:tab w:val="left" w:pos="577"/>
              </w:tabs>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ab/>
            </w:r>
            <w:r>
              <w:rPr>
                <w:rFonts w:hint="eastAsia" w:eastAsia="宋体" w:cs="宋体"/>
                <w:color w:val="auto"/>
                <w:kern w:val="2"/>
                <w:sz w:val="21"/>
                <w:szCs w:val="21"/>
                <w:highlight w:val="none"/>
                <w:lang w:val="en-US" w:eastAsia="zh-CN" w:bidi="ar-SA"/>
              </w:rPr>
              <w:t>0.13</w:t>
            </w:r>
          </w:p>
        </w:tc>
      </w:tr>
      <w:bookmarkEnd w:id="14"/>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eastAsia="黑体" w:cs="黑体"/>
          <w:b w:val="0"/>
          <w:bCs/>
          <w:i w:val="0"/>
          <w:caps w:val="0"/>
          <w:color w:val="auto"/>
          <w:spacing w:val="0"/>
          <w:kern w:val="0"/>
          <w:sz w:val="32"/>
          <w:szCs w:val="32"/>
          <w:highlight w:val="none"/>
          <w:lang w:val="en-US" w:eastAsia="zh-CN" w:bidi="ar"/>
        </w:rPr>
        <w:t>五</w:t>
      </w:r>
      <w:r>
        <w:rPr>
          <w:rFonts w:hint="eastAsia" w:ascii="Times New Roman" w:hAnsi="Times New Roman" w:eastAsia="黑体" w:cs="黑体"/>
          <w:b w:val="0"/>
          <w:bCs/>
          <w:i w:val="0"/>
          <w:caps w:val="0"/>
          <w:color w:val="auto"/>
          <w:spacing w:val="0"/>
          <w:kern w:val="0"/>
          <w:sz w:val="32"/>
          <w:szCs w:val="32"/>
          <w:highlight w:val="none"/>
          <w:lang w:val="en-US" w:eastAsia="zh-CN" w:bidi="ar"/>
        </w:rPr>
        <w:t>、房地产业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方正仿宋_GBK" w:cs="仿宋_GB2312"/>
          <w:i w:val="0"/>
          <w:caps w:val="0"/>
          <w:color w:val="auto"/>
          <w:spacing w:val="0"/>
          <w:kern w:val="0"/>
          <w:sz w:val="32"/>
          <w:szCs w:val="32"/>
          <w:highlight w:val="none"/>
          <w:lang w:val="en-US" w:eastAsia="zh-CN" w:bidi="ar"/>
        </w:rPr>
        <w:t>　　</w:t>
      </w:r>
      <w:r>
        <w:rPr>
          <w:rFonts w:hint="eastAsia" w:ascii="Times New Roman" w:hAnsi="Times New Roman"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2023年末，全县共有房地产业企业法人单位 70 个，比2018年末增长27.27%。其中，房地产开发经营企业 30个，物业管理企业24个，房地产中介服务企业 13 个，分别比2018年末增长42.86%、-7.69%和85.71%。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2023年末，全县房地产业企业法人单位从业人员 1545人，比2018年末增长16.96%。其中，房地产开发经营企业 1147人,比2018年末增长19.60%；物业管理企业 346 人，房地产中介服务企业41人，分别比2018年末增长3.28%和310%（详见表4-15）。</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1" w:afterLines="1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表4-15　按行业中类分组的房地产业企业法人单位数和从业人员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193"/>
        <w:gridCol w:w="2804"/>
        <w:gridCol w:w="26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19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280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67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80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18"/>
                <w:szCs w:val="18"/>
                <w:highlight w:val="none"/>
                <w:u w:val="none"/>
                <w:lang w:val="en-US" w:eastAsia="zh-CN" w:bidi="ar"/>
              </w:rPr>
            </w:pPr>
            <w:r>
              <w:rPr>
                <w:rFonts w:hint="eastAsia" w:eastAsia="宋体" w:cs="宋体"/>
                <w:b/>
                <w:bCs w:val="0"/>
                <w:i w:val="0"/>
                <w:color w:val="auto"/>
                <w:kern w:val="0"/>
                <w:sz w:val="18"/>
                <w:szCs w:val="18"/>
                <w:highlight w:val="none"/>
                <w:u w:val="none"/>
                <w:lang w:val="en-US" w:eastAsia="zh-CN" w:bidi="ar"/>
              </w:rPr>
              <w:t>70</w:t>
            </w:r>
          </w:p>
        </w:tc>
        <w:tc>
          <w:tcPr>
            <w:tcW w:w="267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18"/>
                <w:szCs w:val="18"/>
                <w:highlight w:val="none"/>
                <w:u w:val="none"/>
                <w:lang w:val="en-US" w:eastAsia="zh-CN" w:bidi="ar"/>
              </w:rPr>
            </w:pPr>
            <w:r>
              <w:rPr>
                <w:rFonts w:hint="eastAsia" w:eastAsia="宋体" w:cs="宋体"/>
                <w:b/>
                <w:bCs w:val="0"/>
                <w:i w:val="0"/>
                <w:color w:val="auto"/>
                <w:kern w:val="0"/>
                <w:sz w:val="18"/>
                <w:szCs w:val="18"/>
                <w:highlight w:val="none"/>
                <w:u w:val="none"/>
                <w:lang w:val="en-US" w:eastAsia="zh-CN" w:bidi="ar"/>
              </w:rPr>
              <w:t>1545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房地产开发经营</w:t>
            </w:r>
          </w:p>
        </w:tc>
        <w:tc>
          <w:tcPr>
            <w:tcW w:w="28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30</w:t>
            </w:r>
          </w:p>
        </w:tc>
        <w:tc>
          <w:tcPr>
            <w:tcW w:w="26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1147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物业管理</w:t>
            </w:r>
          </w:p>
        </w:tc>
        <w:tc>
          <w:tcPr>
            <w:tcW w:w="28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24</w:t>
            </w:r>
          </w:p>
        </w:tc>
        <w:tc>
          <w:tcPr>
            <w:tcW w:w="26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346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房地产中介服务</w:t>
            </w:r>
          </w:p>
        </w:tc>
        <w:tc>
          <w:tcPr>
            <w:tcW w:w="28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13</w:t>
            </w:r>
          </w:p>
        </w:tc>
        <w:tc>
          <w:tcPr>
            <w:tcW w:w="26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房地产租赁经营</w:t>
            </w:r>
          </w:p>
        </w:tc>
        <w:tc>
          <w:tcPr>
            <w:tcW w:w="280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2</w:t>
            </w:r>
          </w:p>
        </w:tc>
        <w:tc>
          <w:tcPr>
            <w:tcW w:w="267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193"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其他房地产业</w:t>
            </w:r>
          </w:p>
        </w:tc>
        <w:tc>
          <w:tcPr>
            <w:tcW w:w="280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1</w:t>
            </w:r>
          </w:p>
        </w:tc>
        <w:tc>
          <w:tcPr>
            <w:tcW w:w="267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18"/>
                <w:szCs w:val="18"/>
                <w:highlight w:val="none"/>
                <w:lang w:val="en-US" w:eastAsia="zh-CN" w:bidi="ar-SA"/>
              </w:rPr>
            </w:pPr>
            <w:r>
              <w:rPr>
                <w:rFonts w:hint="eastAsia" w:eastAsia="宋体" w:cs="宋体"/>
                <w:color w:val="auto"/>
                <w:kern w:val="2"/>
                <w:sz w:val="18"/>
                <w:szCs w:val="18"/>
                <w:highlight w:val="none"/>
                <w:lang w:val="en-US" w:eastAsia="zh-CN" w:bidi="ar-SA"/>
              </w:rPr>
              <w:t>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在房地产业企业法人单位中，内资企业占 100 %，港澳台投资企业占0%，外商投资企业占0%。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在房地产业企业法人单位从业人员中，内资企业占 100 %，港澳台投资企业占 0 %，外商投资企业占 0 %（详见表4-16）。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表4-16　按登记注册统计类别分组的房地产业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70</w:t>
            </w:r>
          </w:p>
        </w:tc>
        <w:tc>
          <w:tcPr>
            <w:tcW w:w="205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1545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05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firstLineChars="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2023年末，全县房地产业企业法人单位资产总计 54.01 亿，比2018年末增长16.33%。其中，房地产开发经营企业 53.70 亿元，物业管理企业 0.15 亿元，房地产中介服务企业0.04 亿元，分别比2018年末增长16.28%、-25%和100%。房地产业企业法人单位负债合计 32.81 亿元，比2018年末增长24.9%。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2023年，房地产业企业法人单位全年实现营业收入 2.914亿元，比2018年减少1.89%（详见表4-17）。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表4-17　按行业中类分组的房地产业企业法人单位主要经济指标</w:t>
      </w:r>
    </w:p>
    <w:tbl>
      <w:tblPr>
        <w:tblStyle w:val="8"/>
        <w:tblW w:w="867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76"/>
        <w:gridCol w:w="1632"/>
        <w:gridCol w:w="1632"/>
        <w:gridCol w:w="16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77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6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bookmarkStart w:id="15" w:name="OLE_LINK13" w:colFirst="1" w:colLast="3"/>
            <w:r>
              <w:rPr>
                <w:rFonts w:hint="eastAsia" w:ascii="Times New Roman" w:hAnsi="Times New Roman" w:eastAsia="宋体" w:cs="宋体"/>
                <w:b/>
                <w:color w:val="auto"/>
                <w:kern w:val="0"/>
                <w:sz w:val="21"/>
                <w:szCs w:val="21"/>
                <w:highlight w:val="none"/>
                <w:lang w:val="en-US" w:eastAsia="zh-CN" w:bidi="ar"/>
              </w:rPr>
              <w:t>合　计</w:t>
            </w:r>
          </w:p>
        </w:tc>
        <w:tc>
          <w:tcPr>
            <w:tcW w:w="1632"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tabs>
                <w:tab w:val="left" w:pos="849"/>
              </w:tabs>
              <w:ind w:firstLine="441" w:firstLineChars="20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54.01</w:t>
            </w:r>
          </w:p>
        </w:tc>
        <w:tc>
          <w:tcPr>
            <w:tcW w:w="163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32.81</w:t>
            </w:r>
          </w:p>
        </w:tc>
        <w:tc>
          <w:tcPr>
            <w:tcW w:w="163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2.914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房地产开发经营</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53.7</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32.64</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物业管理</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0.15</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0.135</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房地产中介服务</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0.036</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0.0025</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房地产租赁经营</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0.12</w:t>
            </w:r>
          </w:p>
        </w:tc>
        <w:tc>
          <w:tcPr>
            <w:tcW w:w="163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0.033</w:t>
            </w:r>
          </w:p>
        </w:tc>
        <w:tc>
          <w:tcPr>
            <w:tcW w:w="163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其他房地产业</w:t>
            </w:r>
          </w:p>
        </w:tc>
        <w:tc>
          <w:tcPr>
            <w:tcW w:w="163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0.0008</w:t>
            </w:r>
          </w:p>
        </w:tc>
        <w:tc>
          <w:tcPr>
            <w:tcW w:w="163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w:t>
            </w:r>
          </w:p>
        </w:tc>
        <w:tc>
          <w:tcPr>
            <w:tcW w:w="163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0.009</w:t>
            </w:r>
          </w:p>
        </w:tc>
      </w:tr>
      <w:bookmarkEnd w:id="15"/>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1" w:beforeLines="10" w:beforeAutospacing="0" w:after="0" w:afterAutospacing="0" w:line="560" w:lineRule="exact"/>
        <w:ind w:left="0" w:right="0" w:firstLine="640" w:firstLineChars="20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eastAsia="黑体" w:cs="黑体"/>
          <w:b w:val="0"/>
          <w:bCs/>
          <w:i w:val="0"/>
          <w:caps w:val="0"/>
          <w:color w:val="auto"/>
          <w:spacing w:val="0"/>
          <w:kern w:val="0"/>
          <w:sz w:val="32"/>
          <w:szCs w:val="32"/>
          <w:highlight w:val="none"/>
          <w:lang w:val="en-US" w:eastAsia="zh-CN" w:bidi="ar"/>
        </w:rPr>
        <w:t>六</w:t>
      </w:r>
      <w:r>
        <w:rPr>
          <w:rFonts w:hint="eastAsia" w:ascii="Times New Roman" w:hAnsi="Times New Roman" w:eastAsia="黑体" w:cs="黑体"/>
          <w:b w:val="0"/>
          <w:bCs/>
          <w:i w:val="0"/>
          <w:caps w:val="0"/>
          <w:color w:val="auto"/>
          <w:spacing w:val="0"/>
          <w:kern w:val="0"/>
          <w:sz w:val="32"/>
          <w:szCs w:val="32"/>
          <w:highlight w:val="none"/>
          <w:lang w:val="en-US" w:eastAsia="zh-CN" w:bidi="ar"/>
        </w:rPr>
        <w:t>、租赁和商务服务业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2023年末，全县共有租赁和商务服务业企业法人单位575个，从业人员2209人，分别比2018年末增长413.39%和199.32%。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在租赁和商务服务业企业法人单位中，租赁业占7.30%，商务服务业占92.70%。在租赁和商务服务业企业法人单位从业人员中，租赁业占7.92%，商务服务业占92.08%（详见表4-18）。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表4-18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97"/>
        <w:gridCol w:w="2685"/>
        <w:gridCol w:w="24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49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68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48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68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575</w:t>
            </w:r>
          </w:p>
        </w:tc>
        <w:tc>
          <w:tcPr>
            <w:tcW w:w="248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2209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租赁业</w:t>
            </w:r>
          </w:p>
        </w:tc>
        <w:tc>
          <w:tcPr>
            <w:tcW w:w="2685"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42</w:t>
            </w:r>
          </w:p>
        </w:tc>
        <w:tc>
          <w:tcPr>
            <w:tcW w:w="248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49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商务服务业</w:t>
            </w:r>
          </w:p>
        </w:tc>
        <w:tc>
          <w:tcPr>
            <w:tcW w:w="268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533</w:t>
            </w:r>
          </w:p>
        </w:tc>
        <w:tc>
          <w:tcPr>
            <w:tcW w:w="248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2034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在租赁和商务服务业企业法人单位中，内资企业占100%，</w:t>
      </w:r>
      <w:r>
        <w:rPr>
          <w:rFonts w:hint="eastAsia" w:ascii="仿宋_GB2312" w:hAnsi="仿宋_GB2312" w:eastAsia="仿宋_GB2312" w:cs="仿宋_GB2312"/>
          <w:color w:val="auto"/>
          <w:kern w:val="2"/>
          <w:sz w:val="32"/>
          <w:szCs w:val="32"/>
          <w:lang w:val="en" w:eastAsia="zh-CN" w:bidi="ar-SA"/>
        </w:rPr>
        <w:t>港澳台</w:t>
      </w:r>
      <w:r>
        <w:rPr>
          <w:rFonts w:hint="eastAsia" w:ascii="仿宋_GB2312" w:hAnsi="仿宋_GB2312" w:eastAsia="仿宋_GB2312" w:cs="仿宋_GB2312"/>
          <w:color w:val="auto"/>
          <w:kern w:val="2"/>
          <w:sz w:val="32"/>
          <w:szCs w:val="32"/>
          <w:lang w:val="en-US" w:eastAsia="zh-CN" w:bidi="ar-SA"/>
        </w:rPr>
        <w:t>投资企业占0%，外商投资企业占0%。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在租赁和商务服务业企业法人单位从业人员中，内资企业占100%，港澳台投资企业占0%，外商投资企业占0%（详见表4-19）。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表4-19　按登记注册统计类别分组的租赁和商务服务业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07"/>
        <w:gridCol w:w="2664"/>
        <w:gridCol w:w="2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6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50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6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575</w:t>
            </w:r>
          </w:p>
        </w:tc>
        <w:tc>
          <w:tcPr>
            <w:tcW w:w="250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2209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575</w:t>
            </w:r>
          </w:p>
        </w:tc>
        <w:tc>
          <w:tcPr>
            <w:tcW w:w="250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2209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6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50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50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6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50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2023年末，租赁和商务服务业企业法人单位资产总计  11.71亿元，比2018年末减少39.58%。其中，租赁业企业法人单位资产总计0.80亿元，商务服务业企业法人单位资产总计10.91亿元，分别比2018年末增长56.86%和-42.18%。租赁和商务服务业企业法人单位负债合计12.63亿元，比2018年末减少1.25%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auto"/>
          <w:spacing w:val="-6"/>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2023年，租赁和商务服务业企业法人单位全年实现营业收入6.29亿元，比2018年增长319.33%（详见表4-20）。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Lines="2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w:t>
      </w:r>
      <w:r>
        <w:rPr>
          <w:rFonts w:hint="default" w:ascii="Times New Roman" w:hAnsi="Times New Roman" w:eastAsia="宋体" w:cs="宋体"/>
          <w:b/>
          <w:i w:val="0"/>
          <w:caps w:val="0"/>
          <w:color w:val="auto"/>
          <w:spacing w:val="0"/>
          <w:kern w:val="0"/>
          <w:sz w:val="24"/>
          <w:szCs w:val="24"/>
          <w:highlight w:val="none"/>
          <w:lang w:val="en" w:eastAsia="zh-CN" w:bidi="ar"/>
        </w:rPr>
        <w:t>20</w:t>
      </w:r>
      <w:r>
        <w:rPr>
          <w:rFonts w:hint="eastAsia" w:ascii="Times New Roman" w:hAnsi="Times New Roman" w:eastAsia="宋体" w:cs="宋体"/>
          <w:b/>
          <w:i w:val="0"/>
          <w:caps w:val="0"/>
          <w:color w:val="auto"/>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企业法人单位主要经济指标</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76"/>
        <w:gridCol w:w="1633"/>
        <w:gridCol w:w="1633"/>
        <w:gridCol w:w="16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377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　</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11.71</w:t>
            </w:r>
          </w:p>
        </w:tc>
        <w:tc>
          <w:tcPr>
            <w:tcW w:w="163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12.63</w:t>
            </w:r>
          </w:p>
        </w:tc>
        <w:tc>
          <w:tcPr>
            <w:tcW w:w="1632"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租赁业</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0.80</w:t>
            </w:r>
          </w:p>
        </w:tc>
        <w:tc>
          <w:tcPr>
            <w:tcW w:w="163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0.16</w:t>
            </w:r>
          </w:p>
        </w:tc>
        <w:tc>
          <w:tcPr>
            <w:tcW w:w="1632"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76"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商务服务业</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color w:val="auto"/>
                <w:lang w:val="en-US" w:eastAsia="zh-CN"/>
              </w:rPr>
            </w:pPr>
            <w:r>
              <w:rPr>
                <w:rFonts w:hint="eastAsia"/>
                <w:color w:val="auto"/>
                <w:lang w:val="en-US" w:eastAsia="zh-CN"/>
              </w:rPr>
              <w:t>10.91</w:t>
            </w:r>
          </w:p>
        </w:tc>
        <w:tc>
          <w:tcPr>
            <w:tcW w:w="163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12.47</w:t>
            </w:r>
          </w:p>
        </w:tc>
        <w:tc>
          <w:tcPr>
            <w:tcW w:w="1632"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5.78</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06"/>
        </w:tabs>
        <w:kinsoku/>
        <w:wordWrap/>
        <w:overflowPunct/>
        <w:topLinePunct w:val="0"/>
        <w:autoSpaceDE/>
        <w:autoSpaceDN/>
        <w:bidi w:val="0"/>
        <w:adjustRightInd/>
        <w:snapToGrid/>
        <w:spacing w:before="0" w:beforeAutospacing="0" w:after="0" w:afterAutospacing="0" w:line="600" w:lineRule="exact"/>
        <w:ind w:left="0" w:leftChars="0" w:right="0" w:firstLine="560" w:firstLineChars="200"/>
        <w:jc w:val="left"/>
        <w:textAlignment w:val="auto"/>
        <w:rPr>
          <w:rFonts w:hint="eastAsia" w:ascii="仿宋" w:hAnsi="仿宋" w:eastAsia="仿宋" w:cs="仿宋"/>
          <w:i w:val="0"/>
          <w:caps w:val="0"/>
          <w:color w:val="auto"/>
          <w:spacing w:val="0"/>
          <w:sz w:val="28"/>
          <w:szCs w:val="28"/>
          <w:highlight w:val="none"/>
        </w:rPr>
      </w:pPr>
      <w:r>
        <w:rPr>
          <w:rFonts w:hint="eastAsia" w:ascii="仿宋" w:hAnsi="仿宋" w:eastAsia="仿宋" w:cs="仿宋"/>
          <w:b w:val="0"/>
          <w:bCs/>
          <w:i w:val="0"/>
          <w:caps w:val="0"/>
          <w:color w:val="auto"/>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仿宋" w:hAnsi="仿宋" w:eastAsia="仿宋" w:cs="仿宋"/>
          <w:i w:val="0"/>
          <w:caps w:val="0"/>
          <w:color w:val="auto"/>
          <w:spacing w:val="0"/>
          <w:kern w:val="0"/>
          <w:sz w:val="28"/>
          <w:szCs w:val="28"/>
          <w:highlight w:val="none"/>
          <w:lang w:val="en-US" w:eastAsia="zh-CN" w:bidi="ar"/>
        </w:rPr>
      </w:pPr>
      <w:r>
        <w:rPr>
          <w:rFonts w:hint="eastAsia" w:ascii="仿宋" w:hAnsi="仿宋" w:eastAsia="仿宋" w:cs="仿宋"/>
          <w:i w:val="0"/>
          <w:caps w:val="0"/>
          <w:color w:val="auto"/>
          <w:spacing w:val="0"/>
          <w:kern w:val="0"/>
          <w:sz w:val="28"/>
          <w:szCs w:val="28"/>
          <w:highlight w:val="none"/>
          <w:lang w:val="en-US" w:eastAsia="zh-CN" w:bidi="ar"/>
        </w:rPr>
        <w:t>[1]登记注册统计类别：根据国家</w:t>
      </w:r>
      <w:bookmarkStart w:id="16" w:name="_GoBack"/>
      <w:bookmarkEnd w:id="16"/>
      <w:r>
        <w:rPr>
          <w:rFonts w:hint="eastAsia" w:ascii="仿宋" w:hAnsi="仿宋" w:eastAsia="仿宋" w:cs="仿宋"/>
          <w:i w:val="0"/>
          <w:caps w:val="0"/>
          <w:color w:val="auto"/>
          <w:spacing w:val="0"/>
          <w:kern w:val="0"/>
          <w:sz w:val="28"/>
          <w:szCs w:val="28"/>
          <w:highlight w:val="none"/>
          <w:lang w:val="en-US" w:eastAsia="zh-CN" w:bidi="ar"/>
        </w:rPr>
        <w:t>统计局、国家县场监督管理总局《关于县场主体统计分类的划分规定》（国统字〔2023〕14号）确定，包括内资企业、港澳台投资企业和外商投资企业，以及农民专业合作社（联合社）等其他统计类别。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color w:val="auto"/>
        </w:rPr>
      </w:pPr>
      <w:r>
        <w:rPr>
          <w:rFonts w:hint="eastAsia" w:ascii="仿宋" w:hAnsi="仿宋" w:eastAsia="仿宋" w:cs="仿宋"/>
          <w:i w:val="0"/>
          <w:caps w:val="0"/>
          <w:color w:val="auto"/>
          <w:spacing w:val="0"/>
          <w:kern w:val="0"/>
          <w:sz w:val="28"/>
          <w:szCs w:val="28"/>
          <w:highlight w:val="none"/>
          <w:lang w:val="en-US" w:eastAsia="zh-CN" w:bidi="ar"/>
        </w:rPr>
        <w:t>[2]表中的合计数和部分计算数据因小数取舍而产生的误差，均未作机械调整。为保证数据精确度，个别数据保留2位小数。</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M2VjMTdkYjMxZjQ2ZmFlMTIyNmFkMjVjN2EwODQifQ=="/>
  </w:docVars>
  <w:rsids>
    <w:rsidRoot w:val="00000000"/>
    <w:rsid w:val="02DB7B7D"/>
    <w:rsid w:val="05322502"/>
    <w:rsid w:val="054763CA"/>
    <w:rsid w:val="060A7EE8"/>
    <w:rsid w:val="06AA6352"/>
    <w:rsid w:val="06FF2236"/>
    <w:rsid w:val="08347912"/>
    <w:rsid w:val="0A431AEE"/>
    <w:rsid w:val="0ABB390B"/>
    <w:rsid w:val="0CD409F5"/>
    <w:rsid w:val="0FB73A64"/>
    <w:rsid w:val="11E85CAC"/>
    <w:rsid w:val="12F37CBD"/>
    <w:rsid w:val="1312526F"/>
    <w:rsid w:val="13EA0692"/>
    <w:rsid w:val="16E03B7C"/>
    <w:rsid w:val="170B019F"/>
    <w:rsid w:val="1808742F"/>
    <w:rsid w:val="187D3A7F"/>
    <w:rsid w:val="1AF3186E"/>
    <w:rsid w:val="1EE61F3B"/>
    <w:rsid w:val="217A6EAC"/>
    <w:rsid w:val="23211631"/>
    <w:rsid w:val="26E41995"/>
    <w:rsid w:val="27364818"/>
    <w:rsid w:val="28464A5A"/>
    <w:rsid w:val="28A44A91"/>
    <w:rsid w:val="291233EE"/>
    <w:rsid w:val="2A1A6B57"/>
    <w:rsid w:val="2AC57A89"/>
    <w:rsid w:val="2B2D1F56"/>
    <w:rsid w:val="2BD80724"/>
    <w:rsid w:val="2CCD2DED"/>
    <w:rsid w:val="2D320EA2"/>
    <w:rsid w:val="2FF0216C"/>
    <w:rsid w:val="310C6BC2"/>
    <w:rsid w:val="31E14605"/>
    <w:rsid w:val="332C7652"/>
    <w:rsid w:val="34041E0B"/>
    <w:rsid w:val="36DF5246"/>
    <w:rsid w:val="39E46B16"/>
    <w:rsid w:val="3C180C42"/>
    <w:rsid w:val="3D2D6B2F"/>
    <w:rsid w:val="3EF618CF"/>
    <w:rsid w:val="3F6C46DE"/>
    <w:rsid w:val="422624CB"/>
    <w:rsid w:val="43BF5528"/>
    <w:rsid w:val="44684B53"/>
    <w:rsid w:val="46640908"/>
    <w:rsid w:val="493D2982"/>
    <w:rsid w:val="4996464B"/>
    <w:rsid w:val="49EF351D"/>
    <w:rsid w:val="4A027969"/>
    <w:rsid w:val="51EE5890"/>
    <w:rsid w:val="54E01A2A"/>
    <w:rsid w:val="559D262D"/>
    <w:rsid w:val="55E8090C"/>
    <w:rsid w:val="562F5031"/>
    <w:rsid w:val="588667B4"/>
    <w:rsid w:val="5A0C6735"/>
    <w:rsid w:val="5B722D4E"/>
    <w:rsid w:val="5F4A6568"/>
    <w:rsid w:val="5FC6364F"/>
    <w:rsid w:val="60D02C4E"/>
    <w:rsid w:val="629B54F1"/>
    <w:rsid w:val="63DD07FB"/>
    <w:rsid w:val="65232369"/>
    <w:rsid w:val="65495A50"/>
    <w:rsid w:val="666244E7"/>
    <w:rsid w:val="6A2B716C"/>
    <w:rsid w:val="6B3B1A4A"/>
    <w:rsid w:val="6D0A6D8A"/>
    <w:rsid w:val="70805140"/>
    <w:rsid w:val="70861C0E"/>
    <w:rsid w:val="71611439"/>
    <w:rsid w:val="72175623"/>
    <w:rsid w:val="72BD54C0"/>
    <w:rsid w:val="78F448C0"/>
    <w:rsid w:val="7B854FAB"/>
    <w:rsid w:val="AFDE8746"/>
    <w:rsid w:val="E569120E"/>
    <w:rsid w:val="FCFCB6F9"/>
    <w:rsid w:val="FDF99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4768</Words>
  <Characters>6101</Characters>
  <Lines>0</Lines>
  <Paragraphs>0</Paragraphs>
  <TotalTime>23</TotalTime>
  <ScaleCrop>false</ScaleCrop>
  <LinksUpToDate>false</LinksUpToDate>
  <CharactersWithSpaces>6244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user</dc:creator>
  <cp:lastModifiedBy>uos</cp:lastModifiedBy>
  <cp:lastPrinted>2025-04-25T00:45:00Z</cp:lastPrinted>
  <dcterms:modified xsi:type="dcterms:W3CDTF">2025-07-09T16:41:27Z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D621076998804366AEA581D622DB0A2B_12</vt:lpwstr>
  </property>
</Properties>
</file>