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40" w:type="dxa"/>
        <w:jc w:val="center"/>
        <w:tblInd w:w="0" w:type="dxa"/>
        <w:tblLayout w:type="fixed"/>
        <w:tblCellMar>
          <w:top w:w="0" w:type="dxa"/>
          <w:left w:w="0" w:type="dxa"/>
          <w:bottom w:w="0" w:type="dxa"/>
          <w:right w:w="0" w:type="dxa"/>
        </w:tblCellMar>
      </w:tblPr>
      <w:tblGrid>
        <w:gridCol w:w="433"/>
        <w:gridCol w:w="941"/>
        <w:gridCol w:w="955"/>
        <w:gridCol w:w="2158"/>
        <w:gridCol w:w="1732"/>
        <w:gridCol w:w="1075"/>
        <w:gridCol w:w="1165"/>
        <w:gridCol w:w="3906"/>
        <w:gridCol w:w="584"/>
        <w:gridCol w:w="586"/>
        <w:gridCol w:w="586"/>
        <w:gridCol w:w="519"/>
      </w:tblGrid>
      <w:tr>
        <w:tblPrEx>
          <w:tblLayout w:type="fixed"/>
          <w:tblCellMar>
            <w:top w:w="0" w:type="dxa"/>
            <w:left w:w="0" w:type="dxa"/>
            <w:bottom w:w="0" w:type="dxa"/>
            <w:right w:w="0" w:type="dxa"/>
          </w:tblCellMar>
        </w:tblPrEx>
        <w:trPr>
          <w:trHeight w:val="360" w:hRule="atLeast"/>
          <w:jc w:val="center"/>
        </w:trPr>
        <w:tc>
          <w:tcPr>
            <w:tcW w:w="433"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bookmarkStart w:id="0" w:name="_GoBack"/>
            <w:bookmarkEnd w:id="0"/>
            <w:r>
              <w:rPr>
                <w:rFonts w:hint="eastAsia" w:ascii="宋体" w:hAnsi="宋体" w:eastAsia="宋体" w:cs="宋体"/>
                <w:b/>
                <w:bCs/>
                <w:kern w:val="0"/>
                <w:sz w:val="22"/>
                <w:szCs w:val="22"/>
                <w:lang w:bidi="ar"/>
              </w:rPr>
              <w:t>序号</w:t>
            </w:r>
          </w:p>
        </w:tc>
        <w:tc>
          <w:tcPr>
            <w:tcW w:w="1896" w:type="dxa"/>
            <w:gridSpan w:val="2"/>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公开事项</w:t>
            </w:r>
          </w:p>
        </w:tc>
        <w:tc>
          <w:tcPr>
            <w:tcW w:w="2158"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公开内容（要素）</w:t>
            </w:r>
          </w:p>
        </w:tc>
        <w:tc>
          <w:tcPr>
            <w:tcW w:w="1732"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公开依据</w:t>
            </w:r>
          </w:p>
        </w:tc>
        <w:tc>
          <w:tcPr>
            <w:tcW w:w="1075"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公开</w:t>
            </w:r>
          </w:p>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时限</w:t>
            </w:r>
          </w:p>
        </w:tc>
        <w:tc>
          <w:tcPr>
            <w:tcW w:w="1165"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公开</w:t>
            </w:r>
          </w:p>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主体</w:t>
            </w:r>
          </w:p>
        </w:tc>
        <w:tc>
          <w:tcPr>
            <w:tcW w:w="3906"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公开渠道和载体</w:t>
            </w:r>
          </w:p>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（“□”表示可选项，由各地根据有关要求和实际情况确定）</w:t>
            </w:r>
          </w:p>
        </w:tc>
        <w:tc>
          <w:tcPr>
            <w:tcW w:w="1170" w:type="dxa"/>
            <w:gridSpan w:val="2"/>
            <w:tcBorders>
              <w:top w:val="single" w:color="000000" w:sz="8" w:space="0"/>
              <w:left w:val="nil"/>
              <w:bottom w:val="nil"/>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公开对象</w:t>
            </w:r>
          </w:p>
        </w:tc>
        <w:tc>
          <w:tcPr>
            <w:tcW w:w="1105" w:type="dxa"/>
            <w:gridSpan w:val="2"/>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公开方式</w:t>
            </w:r>
          </w:p>
        </w:tc>
      </w:tr>
      <w:tr>
        <w:tblPrEx>
          <w:tblLayout w:type="fixed"/>
          <w:tblCellMar>
            <w:top w:w="0" w:type="dxa"/>
            <w:left w:w="0" w:type="dxa"/>
            <w:bottom w:w="0" w:type="dxa"/>
            <w:right w:w="0" w:type="dxa"/>
          </w:tblCellMar>
        </w:tblPrEx>
        <w:trPr>
          <w:trHeight w:val="460" w:hRule="atLeast"/>
          <w:jc w:val="center"/>
        </w:trPr>
        <w:tc>
          <w:tcPr>
            <w:tcW w:w="433"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一级事项</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二级事项</w:t>
            </w:r>
          </w:p>
        </w:tc>
        <w:tc>
          <w:tcPr>
            <w:tcW w:w="2158"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1732"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1075"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1165"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3906"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全社会</w:t>
            </w:r>
          </w:p>
        </w:tc>
        <w:tc>
          <w:tcPr>
            <w:tcW w:w="586"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特定群体</w:t>
            </w:r>
          </w:p>
        </w:tc>
        <w:tc>
          <w:tcPr>
            <w:tcW w:w="586"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主动</w:t>
            </w:r>
          </w:p>
        </w:tc>
        <w:tc>
          <w:tcPr>
            <w:tcW w:w="519"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依申请</w:t>
            </w:r>
          </w:p>
        </w:tc>
      </w:tr>
      <w:tr>
        <w:tblPrEx>
          <w:tblLayout w:type="fixed"/>
          <w:tblCellMar>
            <w:top w:w="0" w:type="dxa"/>
            <w:left w:w="0" w:type="dxa"/>
            <w:bottom w:w="0" w:type="dxa"/>
            <w:right w:w="0" w:type="dxa"/>
          </w:tblCellMar>
        </w:tblPrEx>
        <w:trPr>
          <w:trHeight w:val="214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政策文件</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本级政府及水行政主管部门出台的政策文件及相关解读；其他可以公开的水利领域有关政策文件等</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32"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重大决策预公开</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水利领域的重大决策，决策前向社会公开决策草案、决策依据，意见征集方式和期限</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《中华人民共和国政府信息公开条例》《重大行政决策程序暂行条例》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按进展情况及时公开</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302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3</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征集采纳社会公众意见情况</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重大决策草案公布后征集到的社会公众意见情况、采纳与否情况及理由等</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《中华人民共和国政府信息公开条例》(国务院令第711号），中央办公厅、国务院办公厅《关于全面推进政务公开工作的意见》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征求意见时对外公布的时限内公开</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302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4</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回应关切</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对涉及到水利领域经济社会热点问题、群众广泛关注的热点、咨询的相关问题等进行回应</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及时回应</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317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5</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业务办理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主要业务工作的办事依据、条件、程序、时限，办事时间、地点、部门、联系方式及相关办理结果</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行政许可的执法决定信息在执法</w:t>
            </w:r>
            <w:r>
              <w:rPr>
                <w:rFonts w:hint="eastAsia" w:ascii="宋体" w:hAnsi="宋体" w:eastAsia="宋体" w:cs="宋体"/>
                <w:kern w:val="0"/>
                <w:sz w:val="22"/>
                <w:szCs w:val="22"/>
                <w:lang w:eastAsia="zh-CN" w:bidi="ar"/>
              </w:rPr>
              <w:t>决定做出</w:t>
            </w:r>
            <w:r>
              <w:rPr>
                <w:rFonts w:hint="eastAsia" w:ascii="宋体" w:hAnsi="宋体" w:eastAsia="宋体" w:cs="宋体"/>
                <w:kern w:val="0"/>
                <w:sz w:val="22"/>
                <w:szCs w:val="22"/>
                <w:lang w:bidi="ar"/>
              </w:rPr>
              <w:t>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6</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行政处罚</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办理行政处罚的依据、条件、程序以及行政处罚决定信息</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行政处罚的执法决定信息在执法</w:t>
            </w:r>
            <w:r>
              <w:rPr>
                <w:rFonts w:hint="eastAsia" w:ascii="宋体" w:hAnsi="宋体" w:eastAsia="宋体" w:cs="宋体"/>
                <w:kern w:val="0"/>
                <w:sz w:val="22"/>
                <w:szCs w:val="22"/>
                <w:lang w:eastAsia="zh-CN" w:bidi="ar"/>
              </w:rPr>
              <w:t>决定做出</w:t>
            </w:r>
            <w:r>
              <w:rPr>
                <w:rFonts w:hint="eastAsia" w:ascii="宋体" w:hAnsi="宋体" w:eastAsia="宋体" w:cs="宋体"/>
                <w:kern w:val="0"/>
                <w:sz w:val="22"/>
                <w:szCs w:val="22"/>
                <w:lang w:bidi="ar"/>
              </w:rPr>
              <w:t>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7</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行政强制</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办理行政强制的依据、条件、程序和行政强制决定信息。</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行政强制的执法决定信息在执法</w:t>
            </w:r>
            <w:r>
              <w:rPr>
                <w:rFonts w:hint="eastAsia" w:ascii="宋体" w:hAnsi="宋体" w:eastAsia="宋体" w:cs="宋体"/>
                <w:kern w:val="0"/>
                <w:sz w:val="22"/>
                <w:szCs w:val="22"/>
                <w:lang w:eastAsia="zh-CN" w:bidi="ar"/>
              </w:rPr>
              <w:t>决定做出</w:t>
            </w:r>
            <w:r>
              <w:rPr>
                <w:rFonts w:hint="eastAsia" w:ascii="宋体" w:hAnsi="宋体" w:eastAsia="宋体" w:cs="宋体"/>
                <w:kern w:val="0"/>
                <w:sz w:val="22"/>
                <w:szCs w:val="22"/>
                <w:lang w:bidi="ar"/>
              </w:rPr>
              <w:t>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8</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水利规划</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本级本区域的水利领域专项规划、流域规划和区域规划</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《中华人民共和国水法》《中华人民共和国政府信息公开条例》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54"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9</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取用水</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重要饮用水水源地名录</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《国务院关于实行最严格水资源管理制度的意见》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10</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取水许可</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审批机关认为涉及社会公共利益的取水听证，定期发放取水许可证的情况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《取水许可和水资源费征收管理条例》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48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节约用水</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节约用水</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县域节水型社会达标建设情况，水效领跑者引领行动开展情况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《中华人民共和国政府信息公开条例》《“十四五”节水型社会建设规划》《水利部关于印发县域节水型社会达标建设管理办法的通知》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水利工程建设</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水利工程建设</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水利工程建设项目的实施情况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13</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运行管理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工程信息与运行安全</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水库（大坝）工程的工程简介、工程管理与保护范围及责任人，水闸工程和堤防工程的工程简介、工程管理与保护范围</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《中华人民共和国政府信息公开条例》《水利部关于开展河湖管理范围和水利工程管理与保护范围划定工作的通知》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14</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河湖长制工作</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县、乡两级河湖长名录，河湖长姓名、职责、河湖概况、管护目标、监督电话</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《关于全面推行河长制的意见》《关于在湖泊实施湖长制的指导意见》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15</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水域岸线管理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河湖管理范围</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《中华人民共和国长江保护法》《关于全面推行河长制的意见》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87"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16</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河道采砂管理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采砂管理河长责任人、行政主管部门责任人、现场监管责任人、行政执法责任人，禁采区和禁采期</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《中华人民共和国水法》《长江河道采砂管理条例》《水利部关于河道采砂管理工作的指导意见》《长江河道采砂管理实施办法》</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16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Calibri" w:hAnsi="Calibri" w:cs="Calibri"/>
                <w:szCs w:val="21"/>
              </w:rPr>
              <w:t>17</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水土保持</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水土流失防治及监督管理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水土流失重点预防区和重点治理区，崩塌、滑坡危险区和泥石流易发区的范围，禁止开垦的陡坡地的范围</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《中华人民共和国水土保持法》</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14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18</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农村水利水电</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农村供水工程</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千人以上供水单位责任人、供水服务电话</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《水利部关于建立农村饮水安全管理责任体系的通知》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8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19</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监督管理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水利安全生产监督</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安全生产监督检查情况，举报电话、信箱或电子邮件地址等网络举报平台，违法行为情节严重的水利生产经营单位及其有关从业人员，安全生产事故应急预案</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《中华人民共和国安全生产法》《中华人民共和国政府信息公开条例》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60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20</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监督管理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“双随机、一公开”监管</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随机抽查事项清单，抽查情况及查处结果</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《国务院办公厅关于推广随机抽查规范事中事后监管的通知》《水利部办公厅关于印发推行“双随机、一公开”监管工作方案的通知》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16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水旱灾害防御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水旱灾害防御</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防洪规划保留区，洪水预警信息、干旱预警信息</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《中华人民共和国防洪法》《水利部水旱灾害防御应急响应工作规程》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信息形成或者变更之日起20个工作日内，或按照行业有关规定</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905"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水利科技</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水利科技</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面向基层需求的成熟适用水利科技成果信息及推广情况，水利科普工作开展情况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《中华人民共和国促进科技成果转化法》《关于新时代进一步加强科学技术普及工作的意见》《水利部、共青团中央、 中国科协关于加强水利科普工作的指导意见》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云县水务局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bl>
    <w:p>
      <w:pPr>
        <w:widowControl/>
        <w:shd w:val="clear" w:color="auto" w:fill="FFFFFF"/>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2UzMTk2ZmE4ZmU1N2U4NTQ2NDk5N2U1NjdjNzUifQ=="/>
  </w:docVars>
  <w:rsids>
    <w:rsidRoot w:val="00CE16C5"/>
    <w:rsid w:val="006D58AD"/>
    <w:rsid w:val="00CE16C5"/>
    <w:rsid w:val="07113D8D"/>
    <w:rsid w:val="07DE44FF"/>
    <w:rsid w:val="0B7E718C"/>
    <w:rsid w:val="11BF49CC"/>
    <w:rsid w:val="13046647"/>
    <w:rsid w:val="19375EE1"/>
    <w:rsid w:val="1FE66919"/>
    <w:rsid w:val="222741AE"/>
    <w:rsid w:val="23170500"/>
    <w:rsid w:val="27AE29B3"/>
    <w:rsid w:val="29695805"/>
    <w:rsid w:val="34B335AA"/>
    <w:rsid w:val="34CB72CE"/>
    <w:rsid w:val="3B4D3E7D"/>
    <w:rsid w:val="51D84E64"/>
    <w:rsid w:val="54C459F6"/>
    <w:rsid w:val="564F588A"/>
    <w:rsid w:val="5F6F45FF"/>
    <w:rsid w:val="76C8053A"/>
    <w:rsid w:val="76D33CC8"/>
    <w:rsid w:val="79E145CE"/>
    <w:rsid w:val="7A2B0F93"/>
    <w:rsid w:val="7C815F2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864</Words>
  <Characters>4929</Characters>
  <Lines>41</Lines>
  <Paragraphs>11</Paragraphs>
  <ScaleCrop>false</ScaleCrop>
  <LinksUpToDate>false</LinksUpToDate>
  <CharactersWithSpaces>5782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2023-04-04T01:58:00Z</dcterms:created>
  <dc:creator>ZCH</dc:creator>
  <cp:lastModifiedBy>LU</cp:lastModifiedBy>
  <dcterms:modified xsi:type="dcterms:W3CDTF">2023-09-14T01:16:47Z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0800D457FB4D4B64B9191AA4BEB4C8EE_13</vt:lpwstr>
  </property>
</Properties>
</file>